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3F137" w14:textId="52E92A87" w:rsidR="009C2140" w:rsidRPr="009C2140" w:rsidRDefault="009C2140" w:rsidP="009C2140">
      <w:pPr>
        <w:rPr>
          <w:rFonts w:asciiTheme="majorHAnsi" w:hAnsiTheme="majorHAnsi"/>
          <w:sz w:val="52"/>
          <w:szCs w:val="52"/>
        </w:rPr>
      </w:pPr>
      <w:r w:rsidRPr="009C2140">
        <w:rPr>
          <w:rFonts w:asciiTheme="majorHAnsi" w:hAnsiTheme="majorHAnsi"/>
          <w:sz w:val="52"/>
          <w:szCs w:val="52"/>
        </w:rPr>
        <w:t>2025 PLC Themes</w:t>
      </w:r>
    </w:p>
    <w:p w14:paraId="0490C52B" w14:textId="6E4DD43C" w:rsidR="009C2140" w:rsidRPr="009C2140" w:rsidRDefault="009C2140" w:rsidP="009C2140">
      <w:r w:rsidRPr="009C2140">
        <w:t>The Educational Development Council (EDC) and the Academic Technology Center (ATC) are excited to announce the next round of Teaching Innovation Grants for Professional Learning Communities (PLCs). We are deeply appreciative of the enthusiastic response and innovative ideas submitted during our initial call for statements of interest. We are now ready to solicit formal applications for two distinct PLC themes. </w:t>
      </w:r>
    </w:p>
    <w:p w14:paraId="40E8AB02" w14:textId="77777777" w:rsidR="009C2140" w:rsidRPr="009C2140" w:rsidRDefault="009C2140" w:rsidP="009C2140">
      <w:pPr>
        <w:numPr>
          <w:ilvl w:val="0"/>
          <w:numId w:val="1"/>
        </w:numPr>
      </w:pPr>
      <w:r w:rsidRPr="009C2140">
        <w:rPr>
          <w:b/>
          <w:bCs/>
        </w:rPr>
        <w:t xml:space="preserve">Artificial Intelligence (AI) and Technology-Enhanced Learning. </w:t>
      </w:r>
      <w:r w:rsidRPr="009C2140">
        <w:t>In this era of rapid technological advancement, AI and technology-enhanced learning are reshaping the landscape of higher education. These innovations present both unprecedented opportunities and complex challenges for teaching and learning. We invite proposals that explore the multifaceted impact of AI and emerging technologies on student learning, with a focus on critical AI literacy, promoting critical thinking, the science of human learning, implementation science, or preparing students to navigate a future workplace infused with AI. </w:t>
      </w:r>
    </w:p>
    <w:p w14:paraId="38F541E5" w14:textId="77777777" w:rsidR="009C2140" w:rsidRPr="009C2140" w:rsidRDefault="009C2140" w:rsidP="009C2140"/>
    <w:p w14:paraId="33EDC3B0" w14:textId="77777777" w:rsidR="009C2140" w:rsidRPr="009C2140" w:rsidRDefault="009C2140" w:rsidP="009C2140">
      <w:pPr>
        <w:numPr>
          <w:ilvl w:val="0"/>
          <w:numId w:val="1"/>
        </w:numPr>
      </w:pPr>
      <w:r w:rsidRPr="009C2140">
        <w:rPr>
          <w:b/>
          <w:bCs/>
        </w:rPr>
        <w:t>Inclusive, Adaptive, and Open Learner-Centered Teaching Practices</w:t>
      </w:r>
      <w:r w:rsidRPr="009C2140">
        <w:t xml:space="preserve">. This theme is purposefully broad </w:t>
      </w:r>
      <w:proofErr w:type="gramStart"/>
      <w:r w:rsidRPr="009C2140">
        <w:t>in an attempt to</w:t>
      </w:r>
      <w:proofErr w:type="gramEnd"/>
      <w:r w:rsidRPr="009C2140">
        <w:t xml:space="preserve"> facilitate the exploration of learner-centered practices in a variety of contexts and disciplines. Ideas can include, but are </w:t>
      </w:r>
      <w:r w:rsidRPr="009C2140">
        <w:rPr>
          <w:b/>
          <w:bCs/>
        </w:rPr>
        <w:t>not</w:t>
      </w:r>
      <w:r w:rsidRPr="009C2140">
        <w:t xml:space="preserve"> limited to: </w:t>
      </w:r>
    </w:p>
    <w:p w14:paraId="4378F414" w14:textId="77777777" w:rsidR="009C2140" w:rsidRPr="009C2140" w:rsidRDefault="009C2140" w:rsidP="009C2140">
      <w:pPr>
        <w:numPr>
          <w:ilvl w:val="0"/>
          <w:numId w:val="2"/>
        </w:numPr>
      </w:pPr>
      <w:r w:rsidRPr="009C2140">
        <w:t>Fostering inclusivity and student wellbeing </w:t>
      </w:r>
    </w:p>
    <w:p w14:paraId="12388580" w14:textId="77777777" w:rsidR="009C2140" w:rsidRPr="009C2140" w:rsidRDefault="009C2140" w:rsidP="009C2140">
      <w:pPr>
        <w:numPr>
          <w:ilvl w:val="0"/>
          <w:numId w:val="2"/>
        </w:numPr>
      </w:pPr>
      <w:r w:rsidRPr="009C2140">
        <w:t>Adapting to evolving student needs </w:t>
      </w:r>
    </w:p>
    <w:p w14:paraId="1D663800" w14:textId="77777777" w:rsidR="009C2140" w:rsidRPr="009C2140" w:rsidRDefault="009C2140" w:rsidP="009C2140">
      <w:pPr>
        <w:numPr>
          <w:ilvl w:val="0"/>
          <w:numId w:val="2"/>
        </w:numPr>
      </w:pPr>
      <w:r w:rsidRPr="009C2140">
        <w:t>Enhancing engagement through course-based projects </w:t>
      </w:r>
    </w:p>
    <w:p w14:paraId="757F09D3" w14:textId="77777777" w:rsidR="009C2140" w:rsidRPr="009C2140" w:rsidRDefault="009C2140" w:rsidP="009C2140">
      <w:pPr>
        <w:numPr>
          <w:ilvl w:val="0"/>
          <w:numId w:val="2"/>
        </w:numPr>
      </w:pPr>
      <w:r w:rsidRPr="009C2140">
        <w:t>Implementing effective learner-centered strategies for large-class instruction </w:t>
      </w:r>
    </w:p>
    <w:p w14:paraId="25A8DBD7" w14:textId="77777777" w:rsidR="009C2140" w:rsidRPr="009C2140" w:rsidRDefault="009C2140" w:rsidP="009C2140">
      <w:pPr>
        <w:numPr>
          <w:ilvl w:val="0"/>
          <w:numId w:val="2"/>
        </w:numPr>
      </w:pPr>
      <w:r w:rsidRPr="009C2140">
        <w:t>Bridging academic experiences with community involvement </w:t>
      </w:r>
    </w:p>
    <w:p w14:paraId="5A068811" w14:textId="77777777" w:rsidR="009C2140" w:rsidRPr="009C2140" w:rsidRDefault="009C2140" w:rsidP="009C2140">
      <w:pPr>
        <w:numPr>
          <w:ilvl w:val="0"/>
          <w:numId w:val="2"/>
        </w:numPr>
      </w:pPr>
      <w:r w:rsidRPr="009C2140">
        <w:t>Utilizing open-access resources to support teaching and learning </w:t>
      </w:r>
    </w:p>
    <w:p w14:paraId="479EE086" w14:textId="77777777" w:rsidR="009C2140" w:rsidRPr="009C2140" w:rsidRDefault="009C2140" w:rsidP="009C2140">
      <w:pPr>
        <w:numPr>
          <w:ilvl w:val="0"/>
          <w:numId w:val="2"/>
        </w:numPr>
      </w:pPr>
      <w:r w:rsidRPr="009C2140">
        <w:t>Exploring innovative collaborative teaching approaches </w:t>
      </w:r>
      <w:r w:rsidRPr="009C2140">
        <w:t> </w:t>
      </w:r>
      <w:r w:rsidRPr="009C2140">
        <w:t> </w:t>
      </w:r>
      <w:r w:rsidRPr="009C2140">
        <w:t> </w:t>
      </w:r>
      <w:r w:rsidRPr="009C2140">
        <w:t> </w:t>
      </w:r>
    </w:p>
    <w:p w14:paraId="3518412F" w14:textId="77777777" w:rsidR="009C2140" w:rsidRPr="009C2140" w:rsidRDefault="009C2140" w:rsidP="009C2140"/>
    <w:p w14:paraId="7E896D01" w14:textId="77777777" w:rsidR="009C2140" w:rsidRPr="009C2140" w:rsidRDefault="009C2140" w:rsidP="009C2140">
      <w:r w:rsidRPr="009C2140">
        <w:t>In a PLC, each member pursues their own project, while meeting monthly with the multidisciplinary community for peer feedback and support.</w:t>
      </w:r>
      <w:r w:rsidRPr="009C2140">
        <w:rPr>
          <w:rFonts w:ascii="Arial" w:hAnsi="Arial" w:cs="Arial"/>
        </w:rPr>
        <w:t> </w:t>
      </w:r>
      <w:r w:rsidRPr="009C2140">
        <w:rPr>
          <w:b/>
          <w:bCs/>
        </w:rPr>
        <w:t>Please submit your application to participate within a PLC or serve as a facilitator by February 3, 2025</w:t>
      </w:r>
      <w:r w:rsidRPr="009C2140">
        <w:t>.  </w:t>
      </w:r>
    </w:p>
    <w:p w14:paraId="7927C3C2" w14:textId="77777777" w:rsidR="009C2140" w:rsidRPr="009C2140" w:rsidRDefault="009C2140" w:rsidP="009C2140">
      <w:r w:rsidRPr="009C2140">
        <w:t>Having submitted a statement of interest earlier in December is neither necessary nor sufficient to apply to a PLC. If you submitted a statement of interest for a theme that is</w:t>
      </w:r>
      <w:r w:rsidRPr="009C2140">
        <w:rPr>
          <w:rFonts w:ascii="Arial" w:hAnsi="Arial" w:cs="Arial"/>
        </w:rPr>
        <w:t> </w:t>
      </w:r>
      <w:r w:rsidRPr="009C2140">
        <w:rPr>
          <w:i/>
          <w:iCs/>
        </w:rPr>
        <w:t>not</w:t>
      </w:r>
      <w:r w:rsidRPr="009C2140">
        <w:rPr>
          <w:rFonts w:ascii="Arial" w:hAnsi="Arial" w:cs="Arial"/>
          <w:i/>
          <w:iCs/>
        </w:rPr>
        <w:t> </w:t>
      </w:r>
      <w:r w:rsidRPr="009C2140">
        <w:t>being supported, or if you would rather work independently on a project, we encourage you to submit course and program projects (CPP) instead. CPP proposals are also welcome in any area related to innovation in undergraduate and graduate education.</w:t>
      </w:r>
      <w:r w:rsidRPr="009C2140">
        <w:rPr>
          <w:rFonts w:ascii="Arial" w:hAnsi="Arial" w:cs="Arial"/>
        </w:rPr>
        <w:t> </w:t>
      </w:r>
      <w:r w:rsidRPr="009C2140">
        <w:rPr>
          <w:i/>
          <w:iCs/>
        </w:rPr>
        <w:t xml:space="preserve">Proposals, whether for a PLC or CPP grant, will merit </w:t>
      </w:r>
      <w:r w:rsidRPr="009C2140">
        <w:rPr>
          <w:i/>
          <w:iCs/>
        </w:rPr>
        <w:lastRenderedPageBreak/>
        <w:t>funding only if they go beyond normal expectations for renewal and improvement of curricula and pedagogical strategies.</w:t>
      </w:r>
      <w:r w:rsidRPr="009C2140">
        <w:t> </w:t>
      </w:r>
    </w:p>
    <w:p w14:paraId="058DE82F" w14:textId="77777777" w:rsidR="009C2140" w:rsidRPr="009C2140" w:rsidRDefault="009C2140" w:rsidP="009C2140">
      <w:r w:rsidRPr="009C2140">
        <w:rPr>
          <w:rFonts w:ascii="Arial" w:hAnsi="Arial" w:cs="Arial"/>
        </w:rPr>
        <w:t> </w:t>
      </w:r>
      <w:r w:rsidRPr="009C2140">
        <w:t>Details about expectations and funding, along with application procedures and criteria for selection for both types of grants and for PLC facilitators, can be found in the</w:t>
      </w:r>
      <w:r w:rsidRPr="009C2140">
        <w:rPr>
          <w:rFonts w:ascii="Arial" w:hAnsi="Arial" w:cs="Arial"/>
          <w:b/>
          <w:bCs/>
        </w:rPr>
        <w:t> </w:t>
      </w:r>
      <w:hyperlink r:id="rId5" w:tgtFrame="_blank" w:tooltip="https://www.wpi.edu/academics/faculty/morgan-teaching-learning-center/funding/teaching-innovation-grants" w:history="1">
        <w:r w:rsidRPr="009C2140">
          <w:rPr>
            <w:rStyle w:val="Hyperlink"/>
          </w:rPr>
          <w:t>Call for Proposals and Program Guidelines</w:t>
        </w:r>
      </w:hyperlink>
      <w:r w:rsidRPr="009C2140">
        <w:rPr>
          <w:b/>
          <w:bCs/>
        </w:rPr>
        <w:t>.</w:t>
      </w:r>
      <w:r w:rsidRPr="009C2140">
        <w:rPr>
          <w:rFonts w:ascii="Arial" w:hAnsi="Arial" w:cs="Arial"/>
          <w:b/>
          <w:bCs/>
        </w:rPr>
        <w:t> </w:t>
      </w:r>
      <w:r w:rsidRPr="009C2140">
        <w:t>Application forms are found on the same webpage.</w:t>
      </w:r>
      <w:r w:rsidRPr="009C2140">
        <w:rPr>
          <w:rFonts w:ascii="Arial" w:hAnsi="Arial" w:cs="Arial"/>
        </w:rPr>
        <w:t> </w:t>
      </w:r>
      <w:r w:rsidRPr="009C2140">
        <w:t>Please feel free to contact any of us with questions.</w:t>
      </w:r>
      <w:r w:rsidRPr="009C2140">
        <w:rPr>
          <w:rFonts w:ascii="Aptos" w:hAnsi="Aptos" w:cs="Aptos"/>
        </w:rPr>
        <w:t> </w:t>
      </w:r>
    </w:p>
    <w:p w14:paraId="30110C8C" w14:textId="77777777" w:rsidR="009C2140" w:rsidRPr="009C2140" w:rsidRDefault="009C2140" w:rsidP="009C2140">
      <w:r w:rsidRPr="009C2140">
        <w:t>Please note that all proposals, whether for a PLC or CPP grant, must demonstrate innovation beyond standard curriculum and pedagogy improvements to merit funding. We are looking for projects that push the boundaries of traditional teaching methods and contribute significantly to the advancement of education at WPI, particularly those that include individuals who have not participated in these funding mechanisms previously. </w:t>
      </w:r>
    </w:p>
    <w:p w14:paraId="191B168D" w14:textId="77777777" w:rsidR="009C2140" w:rsidRPr="009C2140" w:rsidRDefault="009C2140" w:rsidP="009C2140">
      <w:r w:rsidRPr="009C2140">
        <w:t>We look forward to your creative and impactful proposals as we continue to enhance the educational experience at our institution. Your participation in these PLCs will not only benefit your own teaching practice but also contribute to the broader academic community at WPI. </w:t>
      </w:r>
    </w:p>
    <w:p w14:paraId="3EB97A0E" w14:textId="77777777" w:rsidR="009C2140" w:rsidRPr="009C2140" w:rsidRDefault="009C2140" w:rsidP="009C2140">
      <w:r w:rsidRPr="009C2140">
        <w:t>On behalf of EDC members Mike Buckholt, Jeanine Dudle, Geoff Pfeifer, and Marcus Concepcion (Aerospace Engineering '27) along with Mary Courtemanche (MTLC), Kate Beverage (ATC-TTL), and Caitlin Neer (ATC) </w:t>
      </w:r>
    </w:p>
    <w:p w14:paraId="5CC143D2" w14:textId="7BFE8554" w:rsidR="009C2140" w:rsidRPr="009C2140" w:rsidRDefault="009C2140" w:rsidP="009C2140">
      <w:r w:rsidRPr="009C2140">
        <w:t> P. S. Securing PLC/CPP funding demonstrates a proactive commitment to evidence-based pedagogical innovation, which is valued in the tenure and promotion process. </w:t>
      </w:r>
    </w:p>
    <w:p w14:paraId="3EBF484D" w14:textId="77777777" w:rsidR="00B1578C" w:rsidRDefault="00B1578C"/>
    <w:sectPr w:rsidR="00B15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34215"/>
    <w:multiLevelType w:val="multilevel"/>
    <w:tmpl w:val="C2D0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A1876"/>
    <w:multiLevelType w:val="multilevel"/>
    <w:tmpl w:val="47B6A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2223574">
    <w:abstractNumId w:val="1"/>
  </w:num>
  <w:num w:numId="2" w16cid:durableId="183533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C2140"/>
    <w:rsid w:val="001D57A9"/>
    <w:rsid w:val="00364108"/>
    <w:rsid w:val="009C2140"/>
    <w:rsid w:val="009F058C"/>
    <w:rsid w:val="00B1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1337C"/>
  <w15:chartTrackingRefBased/>
  <w15:docId w15:val="{92FD9450-A61F-41DB-B366-1563B9D9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140"/>
    <w:rPr>
      <w:rFonts w:eastAsiaTheme="majorEastAsia" w:cstheme="majorBidi"/>
      <w:color w:val="272727" w:themeColor="text1" w:themeTint="D8"/>
    </w:rPr>
  </w:style>
  <w:style w:type="paragraph" w:styleId="Title">
    <w:name w:val="Title"/>
    <w:basedOn w:val="Normal"/>
    <w:next w:val="Normal"/>
    <w:link w:val="TitleChar"/>
    <w:uiPriority w:val="10"/>
    <w:qFormat/>
    <w:rsid w:val="009C2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140"/>
    <w:pPr>
      <w:spacing w:before="160"/>
      <w:jc w:val="center"/>
    </w:pPr>
    <w:rPr>
      <w:i/>
      <w:iCs/>
      <w:color w:val="404040" w:themeColor="text1" w:themeTint="BF"/>
    </w:rPr>
  </w:style>
  <w:style w:type="character" w:customStyle="1" w:styleId="QuoteChar">
    <w:name w:val="Quote Char"/>
    <w:basedOn w:val="DefaultParagraphFont"/>
    <w:link w:val="Quote"/>
    <w:uiPriority w:val="29"/>
    <w:rsid w:val="009C2140"/>
    <w:rPr>
      <w:i/>
      <w:iCs/>
      <w:color w:val="404040" w:themeColor="text1" w:themeTint="BF"/>
    </w:rPr>
  </w:style>
  <w:style w:type="paragraph" w:styleId="ListParagraph">
    <w:name w:val="List Paragraph"/>
    <w:basedOn w:val="Normal"/>
    <w:uiPriority w:val="34"/>
    <w:qFormat/>
    <w:rsid w:val="009C2140"/>
    <w:pPr>
      <w:ind w:left="720"/>
      <w:contextualSpacing/>
    </w:pPr>
  </w:style>
  <w:style w:type="character" w:styleId="IntenseEmphasis">
    <w:name w:val="Intense Emphasis"/>
    <w:basedOn w:val="DefaultParagraphFont"/>
    <w:uiPriority w:val="21"/>
    <w:qFormat/>
    <w:rsid w:val="009C2140"/>
    <w:rPr>
      <w:i/>
      <w:iCs/>
      <w:color w:val="0F4761" w:themeColor="accent1" w:themeShade="BF"/>
    </w:rPr>
  </w:style>
  <w:style w:type="paragraph" w:styleId="IntenseQuote">
    <w:name w:val="Intense Quote"/>
    <w:basedOn w:val="Normal"/>
    <w:next w:val="Normal"/>
    <w:link w:val="IntenseQuoteChar"/>
    <w:uiPriority w:val="30"/>
    <w:qFormat/>
    <w:rsid w:val="009C2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140"/>
    <w:rPr>
      <w:i/>
      <w:iCs/>
      <w:color w:val="0F4761" w:themeColor="accent1" w:themeShade="BF"/>
    </w:rPr>
  </w:style>
  <w:style w:type="character" w:styleId="IntenseReference">
    <w:name w:val="Intense Reference"/>
    <w:basedOn w:val="DefaultParagraphFont"/>
    <w:uiPriority w:val="32"/>
    <w:qFormat/>
    <w:rsid w:val="009C2140"/>
    <w:rPr>
      <w:b/>
      <w:bCs/>
      <w:smallCaps/>
      <w:color w:val="0F4761" w:themeColor="accent1" w:themeShade="BF"/>
      <w:spacing w:val="5"/>
    </w:rPr>
  </w:style>
  <w:style w:type="character" w:styleId="Hyperlink">
    <w:name w:val="Hyperlink"/>
    <w:basedOn w:val="DefaultParagraphFont"/>
    <w:uiPriority w:val="99"/>
    <w:unhideWhenUsed/>
    <w:rsid w:val="009C2140"/>
    <w:rPr>
      <w:color w:val="467886" w:themeColor="hyperlink"/>
      <w:u w:val="single"/>
    </w:rPr>
  </w:style>
  <w:style w:type="character" w:styleId="UnresolvedMention">
    <w:name w:val="Unresolved Mention"/>
    <w:basedOn w:val="DefaultParagraphFont"/>
    <w:uiPriority w:val="99"/>
    <w:semiHidden/>
    <w:unhideWhenUsed/>
    <w:rsid w:val="009C2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48402">
      <w:bodyDiv w:val="1"/>
      <w:marLeft w:val="0"/>
      <w:marRight w:val="0"/>
      <w:marTop w:val="0"/>
      <w:marBottom w:val="0"/>
      <w:divBdr>
        <w:top w:val="none" w:sz="0" w:space="0" w:color="auto"/>
        <w:left w:val="none" w:sz="0" w:space="0" w:color="auto"/>
        <w:bottom w:val="none" w:sz="0" w:space="0" w:color="auto"/>
        <w:right w:val="none" w:sz="0" w:space="0" w:color="auto"/>
      </w:divBdr>
      <w:divsChild>
        <w:div w:id="755827476">
          <w:marLeft w:val="0"/>
          <w:marRight w:val="0"/>
          <w:marTop w:val="0"/>
          <w:marBottom w:val="120"/>
          <w:divBdr>
            <w:top w:val="none" w:sz="0" w:space="0" w:color="auto"/>
            <w:left w:val="none" w:sz="0" w:space="0" w:color="auto"/>
            <w:bottom w:val="none" w:sz="0" w:space="0" w:color="auto"/>
            <w:right w:val="none" w:sz="0" w:space="0" w:color="auto"/>
          </w:divBdr>
        </w:div>
        <w:div w:id="1842311541">
          <w:marLeft w:val="0"/>
          <w:marRight w:val="0"/>
          <w:marTop w:val="0"/>
          <w:marBottom w:val="120"/>
          <w:divBdr>
            <w:top w:val="none" w:sz="0" w:space="0" w:color="auto"/>
            <w:left w:val="none" w:sz="0" w:space="0" w:color="auto"/>
            <w:bottom w:val="none" w:sz="0" w:space="0" w:color="auto"/>
            <w:right w:val="none" w:sz="0" w:space="0" w:color="auto"/>
          </w:divBdr>
        </w:div>
        <w:div w:id="1274441513">
          <w:marLeft w:val="0"/>
          <w:marRight w:val="0"/>
          <w:marTop w:val="0"/>
          <w:marBottom w:val="120"/>
          <w:divBdr>
            <w:top w:val="none" w:sz="0" w:space="0" w:color="auto"/>
            <w:left w:val="none" w:sz="0" w:space="0" w:color="auto"/>
            <w:bottom w:val="none" w:sz="0" w:space="0" w:color="auto"/>
            <w:right w:val="none" w:sz="0" w:space="0" w:color="auto"/>
          </w:divBdr>
        </w:div>
        <w:div w:id="814686804">
          <w:marLeft w:val="0"/>
          <w:marRight w:val="0"/>
          <w:marTop w:val="0"/>
          <w:marBottom w:val="120"/>
          <w:divBdr>
            <w:top w:val="none" w:sz="0" w:space="0" w:color="auto"/>
            <w:left w:val="none" w:sz="0" w:space="0" w:color="auto"/>
            <w:bottom w:val="none" w:sz="0" w:space="0" w:color="auto"/>
            <w:right w:val="none" w:sz="0" w:space="0" w:color="auto"/>
          </w:divBdr>
        </w:div>
        <w:div w:id="1928341991">
          <w:marLeft w:val="0"/>
          <w:marRight w:val="0"/>
          <w:marTop w:val="0"/>
          <w:marBottom w:val="120"/>
          <w:divBdr>
            <w:top w:val="none" w:sz="0" w:space="0" w:color="auto"/>
            <w:left w:val="none" w:sz="0" w:space="0" w:color="auto"/>
            <w:bottom w:val="none" w:sz="0" w:space="0" w:color="auto"/>
            <w:right w:val="none" w:sz="0" w:space="0" w:color="auto"/>
          </w:divBdr>
        </w:div>
        <w:div w:id="556745494">
          <w:marLeft w:val="0"/>
          <w:marRight w:val="0"/>
          <w:marTop w:val="0"/>
          <w:marBottom w:val="120"/>
          <w:divBdr>
            <w:top w:val="none" w:sz="0" w:space="0" w:color="auto"/>
            <w:left w:val="none" w:sz="0" w:space="0" w:color="auto"/>
            <w:bottom w:val="none" w:sz="0" w:space="0" w:color="auto"/>
            <w:right w:val="none" w:sz="0" w:space="0" w:color="auto"/>
          </w:divBdr>
        </w:div>
        <w:div w:id="1318072707">
          <w:marLeft w:val="0"/>
          <w:marRight w:val="0"/>
          <w:marTop w:val="0"/>
          <w:marBottom w:val="120"/>
          <w:divBdr>
            <w:top w:val="none" w:sz="0" w:space="0" w:color="auto"/>
            <w:left w:val="none" w:sz="0" w:space="0" w:color="auto"/>
            <w:bottom w:val="none" w:sz="0" w:space="0" w:color="auto"/>
            <w:right w:val="none" w:sz="0" w:space="0" w:color="auto"/>
          </w:divBdr>
        </w:div>
        <w:div w:id="92481903">
          <w:marLeft w:val="0"/>
          <w:marRight w:val="0"/>
          <w:marTop w:val="0"/>
          <w:marBottom w:val="120"/>
          <w:divBdr>
            <w:top w:val="none" w:sz="0" w:space="0" w:color="auto"/>
            <w:left w:val="none" w:sz="0" w:space="0" w:color="auto"/>
            <w:bottom w:val="none" w:sz="0" w:space="0" w:color="auto"/>
            <w:right w:val="none" w:sz="0" w:space="0" w:color="auto"/>
          </w:divBdr>
        </w:div>
        <w:div w:id="569928294">
          <w:marLeft w:val="0"/>
          <w:marRight w:val="0"/>
          <w:marTop w:val="0"/>
          <w:marBottom w:val="120"/>
          <w:divBdr>
            <w:top w:val="none" w:sz="0" w:space="0" w:color="auto"/>
            <w:left w:val="none" w:sz="0" w:space="0" w:color="auto"/>
            <w:bottom w:val="none" w:sz="0" w:space="0" w:color="auto"/>
            <w:right w:val="none" w:sz="0" w:space="0" w:color="auto"/>
          </w:divBdr>
        </w:div>
        <w:div w:id="1909458588">
          <w:marLeft w:val="0"/>
          <w:marRight w:val="0"/>
          <w:marTop w:val="0"/>
          <w:marBottom w:val="120"/>
          <w:divBdr>
            <w:top w:val="none" w:sz="0" w:space="0" w:color="auto"/>
            <w:left w:val="none" w:sz="0" w:space="0" w:color="auto"/>
            <w:bottom w:val="none" w:sz="0" w:space="0" w:color="auto"/>
            <w:right w:val="none" w:sz="0" w:space="0" w:color="auto"/>
          </w:divBdr>
        </w:div>
        <w:div w:id="224144545">
          <w:marLeft w:val="0"/>
          <w:marRight w:val="0"/>
          <w:marTop w:val="0"/>
          <w:marBottom w:val="120"/>
          <w:divBdr>
            <w:top w:val="none" w:sz="0" w:space="0" w:color="auto"/>
            <w:left w:val="none" w:sz="0" w:space="0" w:color="auto"/>
            <w:bottom w:val="none" w:sz="0" w:space="0" w:color="auto"/>
            <w:right w:val="none" w:sz="0" w:space="0" w:color="auto"/>
          </w:divBdr>
        </w:div>
        <w:div w:id="856430532">
          <w:marLeft w:val="0"/>
          <w:marRight w:val="0"/>
          <w:marTop w:val="0"/>
          <w:marBottom w:val="120"/>
          <w:divBdr>
            <w:top w:val="none" w:sz="0" w:space="0" w:color="auto"/>
            <w:left w:val="none" w:sz="0" w:space="0" w:color="auto"/>
            <w:bottom w:val="none" w:sz="0" w:space="0" w:color="auto"/>
            <w:right w:val="none" w:sz="0" w:space="0" w:color="auto"/>
          </w:divBdr>
        </w:div>
        <w:div w:id="1363869925">
          <w:marLeft w:val="0"/>
          <w:marRight w:val="0"/>
          <w:marTop w:val="0"/>
          <w:marBottom w:val="120"/>
          <w:divBdr>
            <w:top w:val="none" w:sz="0" w:space="0" w:color="auto"/>
            <w:left w:val="none" w:sz="0" w:space="0" w:color="auto"/>
            <w:bottom w:val="none" w:sz="0" w:space="0" w:color="auto"/>
            <w:right w:val="none" w:sz="0" w:space="0" w:color="auto"/>
          </w:divBdr>
        </w:div>
      </w:divsChild>
    </w:div>
    <w:div w:id="1991715080">
      <w:bodyDiv w:val="1"/>
      <w:marLeft w:val="0"/>
      <w:marRight w:val="0"/>
      <w:marTop w:val="0"/>
      <w:marBottom w:val="0"/>
      <w:divBdr>
        <w:top w:val="none" w:sz="0" w:space="0" w:color="auto"/>
        <w:left w:val="none" w:sz="0" w:space="0" w:color="auto"/>
        <w:bottom w:val="none" w:sz="0" w:space="0" w:color="auto"/>
        <w:right w:val="none" w:sz="0" w:space="0" w:color="auto"/>
      </w:divBdr>
      <w:divsChild>
        <w:div w:id="1996373034">
          <w:marLeft w:val="0"/>
          <w:marRight w:val="0"/>
          <w:marTop w:val="0"/>
          <w:marBottom w:val="120"/>
          <w:divBdr>
            <w:top w:val="none" w:sz="0" w:space="0" w:color="auto"/>
            <w:left w:val="none" w:sz="0" w:space="0" w:color="auto"/>
            <w:bottom w:val="none" w:sz="0" w:space="0" w:color="auto"/>
            <w:right w:val="none" w:sz="0" w:space="0" w:color="auto"/>
          </w:divBdr>
        </w:div>
        <w:div w:id="392315604">
          <w:marLeft w:val="0"/>
          <w:marRight w:val="0"/>
          <w:marTop w:val="0"/>
          <w:marBottom w:val="120"/>
          <w:divBdr>
            <w:top w:val="none" w:sz="0" w:space="0" w:color="auto"/>
            <w:left w:val="none" w:sz="0" w:space="0" w:color="auto"/>
            <w:bottom w:val="none" w:sz="0" w:space="0" w:color="auto"/>
            <w:right w:val="none" w:sz="0" w:space="0" w:color="auto"/>
          </w:divBdr>
        </w:div>
        <w:div w:id="1651445035">
          <w:marLeft w:val="0"/>
          <w:marRight w:val="0"/>
          <w:marTop w:val="0"/>
          <w:marBottom w:val="120"/>
          <w:divBdr>
            <w:top w:val="none" w:sz="0" w:space="0" w:color="auto"/>
            <w:left w:val="none" w:sz="0" w:space="0" w:color="auto"/>
            <w:bottom w:val="none" w:sz="0" w:space="0" w:color="auto"/>
            <w:right w:val="none" w:sz="0" w:space="0" w:color="auto"/>
          </w:divBdr>
        </w:div>
        <w:div w:id="1079248523">
          <w:marLeft w:val="0"/>
          <w:marRight w:val="0"/>
          <w:marTop w:val="0"/>
          <w:marBottom w:val="120"/>
          <w:divBdr>
            <w:top w:val="none" w:sz="0" w:space="0" w:color="auto"/>
            <w:left w:val="none" w:sz="0" w:space="0" w:color="auto"/>
            <w:bottom w:val="none" w:sz="0" w:space="0" w:color="auto"/>
            <w:right w:val="none" w:sz="0" w:space="0" w:color="auto"/>
          </w:divBdr>
        </w:div>
        <w:div w:id="65031899">
          <w:marLeft w:val="0"/>
          <w:marRight w:val="0"/>
          <w:marTop w:val="0"/>
          <w:marBottom w:val="120"/>
          <w:divBdr>
            <w:top w:val="none" w:sz="0" w:space="0" w:color="auto"/>
            <w:left w:val="none" w:sz="0" w:space="0" w:color="auto"/>
            <w:bottom w:val="none" w:sz="0" w:space="0" w:color="auto"/>
            <w:right w:val="none" w:sz="0" w:space="0" w:color="auto"/>
          </w:divBdr>
        </w:div>
        <w:div w:id="1497069008">
          <w:marLeft w:val="0"/>
          <w:marRight w:val="0"/>
          <w:marTop w:val="0"/>
          <w:marBottom w:val="120"/>
          <w:divBdr>
            <w:top w:val="none" w:sz="0" w:space="0" w:color="auto"/>
            <w:left w:val="none" w:sz="0" w:space="0" w:color="auto"/>
            <w:bottom w:val="none" w:sz="0" w:space="0" w:color="auto"/>
            <w:right w:val="none" w:sz="0" w:space="0" w:color="auto"/>
          </w:divBdr>
        </w:div>
        <w:div w:id="1387802340">
          <w:marLeft w:val="0"/>
          <w:marRight w:val="0"/>
          <w:marTop w:val="0"/>
          <w:marBottom w:val="120"/>
          <w:divBdr>
            <w:top w:val="none" w:sz="0" w:space="0" w:color="auto"/>
            <w:left w:val="none" w:sz="0" w:space="0" w:color="auto"/>
            <w:bottom w:val="none" w:sz="0" w:space="0" w:color="auto"/>
            <w:right w:val="none" w:sz="0" w:space="0" w:color="auto"/>
          </w:divBdr>
        </w:div>
        <w:div w:id="2003703321">
          <w:marLeft w:val="0"/>
          <w:marRight w:val="0"/>
          <w:marTop w:val="0"/>
          <w:marBottom w:val="120"/>
          <w:divBdr>
            <w:top w:val="none" w:sz="0" w:space="0" w:color="auto"/>
            <w:left w:val="none" w:sz="0" w:space="0" w:color="auto"/>
            <w:bottom w:val="none" w:sz="0" w:space="0" w:color="auto"/>
            <w:right w:val="none" w:sz="0" w:space="0" w:color="auto"/>
          </w:divBdr>
        </w:div>
        <w:div w:id="1049569414">
          <w:marLeft w:val="0"/>
          <w:marRight w:val="0"/>
          <w:marTop w:val="0"/>
          <w:marBottom w:val="120"/>
          <w:divBdr>
            <w:top w:val="none" w:sz="0" w:space="0" w:color="auto"/>
            <w:left w:val="none" w:sz="0" w:space="0" w:color="auto"/>
            <w:bottom w:val="none" w:sz="0" w:space="0" w:color="auto"/>
            <w:right w:val="none" w:sz="0" w:space="0" w:color="auto"/>
          </w:divBdr>
        </w:div>
        <w:div w:id="970940663">
          <w:marLeft w:val="0"/>
          <w:marRight w:val="0"/>
          <w:marTop w:val="0"/>
          <w:marBottom w:val="120"/>
          <w:divBdr>
            <w:top w:val="none" w:sz="0" w:space="0" w:color="auto"/>
            <w:left w:val="none" w:sz="0" w:space="0" w:color="auto"/>
            <w:bottom w:val="none" w:sz="0" w:space="0" w:color="auto"/>
            <w:right w:val="none" w:sz="0" w:space="0" w:color="auto"/>
          </w:divBdr>
        </w:div>
        <w:div w:id="180437201">
          <w:marLeft w:val="0"/>
          <w:marRight w:val="0"/>
          <w:marTop w:val="0"/>
          <w:marBottom w:val="120"/>
          <w:divBdr>
            <w:top w:val="none" w:sz="0" w:space="0" w:color="auto"/>
            <w:left w:val="none" w:sz="0" w:space="0" w:color="auto"/>
            <w:bottom w:val="none" w:sz="0" w:space="0" w:color="auto"/>
            <w:right w:val="none" w:sz="0" w:space="0" w:color="auto"/>
          </w:divBdr>
        </w:div>
        <w:div w:id="994645282">
          <w:marLeft w:val="0"/>
          <w:marRight w:val="0"/>
          <w:marTop w:val="0"/>
          <w:marBottom w:val="120"/>
          <w:divBdr>
            <w:top w:val="none" w:sz="0" w:space="0" w:color="auto"/>
            <w:left w:val="none" w:sz="0" w:space="0" w:color="auto"/>
            <w:bottom w:val="none" w:sz="0" w:space="0" w:color="auto"/>
            <w:right w:val="none" w:sz="0" w:space="0" w:color="auto"/>
          </w:divBdr>
        </w:div>
        <w:div w:id="131749606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pi.edu/academics/faculty/morgan-teaching-learning-center/funding/teaching-innovation-gra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597</Words>
  <Characters>3589</Characters>
  <Application>Microsoft Office Word</Application>
  <DocSecurity>0</DocSecurity>
  <Lines>56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Courtemanche, Mary</dc:creator>
  <cp:keywords/>
  <dc:description/>
  <cp:lastModifiedBy>Courtemanche, Mary</cp:lastModifiedBy>
  <cp:revision>1</cp:revision>
  <dcterms:created xsi:type="dcterms:W3CDTF">2025-02-03T20:49:00Z</dcterms:created>
  <dcterms:modified xsi:type="dcterms:W3CDTF">2025-02-03T21:08:00Z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47e04994-f501-49bd-82e2-de85fa80ada3</vt:lpwstr>
  </property>
</Properties>
</file>