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DD3D1" w14:textId="77777777" w:rsidR="00F66EE8" w:rsidRPr="00F66EE8" w:rsidRDefault="00F66EE8" w:rsidP="00F66EE8">
      <w:r w:rsidRPr="00F66EE8">
        <w:pict w14:anchorId="0B41AEF9">
          <v:rect id="_x0000_i1061" style="width:0;height:1.5pt" o:hralign="center" o:hrstd="t" o:hr="t" fillcolor="#a0a0a0" stroked="f"/>
        </w:pict>
      </w:r>
    </w:p>
    <w:p w14:paraId="68E3B6D0" w14:textId="77777777" w:rsidR="00F66EE8" w:rsidRPr="00F66EE8" w:rsidRDefault="00F66EE8" w:rsidP="00F66EE8">
      <w:pPr>
        <w:rPr>
          <w:b/>
          <w:bCs/>
        </w:rPr>
      </w:pPr>
      <w:r w:rsidRPr="00F66EE8">
        <w:rPr>
          <w:b/>
          <w:bCs/>
        </w:rPr>
        <w:t>LGBTQIA+ Know Your Rights Presentation</w:t>
      </w:r>
    </w:p>
    <w:p w14:paraId="02E94B1E" w14:textId="77777777" w:rsidR="00F66EE8" w:rsidRPr="00F66EE8" w:rsidRDefault="00F66EE8" w:rsidP="00F66EE8">
      <w:pPr>
        <w:rPr>
          <w:b/>
          <w:bCs/>
        </w:rPr>
      </w:pPr>
      <w:r w:rsidRPr="00F66EE8">
        <w:rPr>
          <w:b/>
          <w:bCs/>
        </w:rPr>
        <w:t>Introduction</w:t>
      </w:r>
    </w:p>
    <w:p w14:paraId="4AF3738C" w14:textId="77777777" w:rsidR="00F66EE8" w:rsidRPr="00F66EE8" w:rsidRDefault="00F66EE8" w:rsidP="00F66EE8">
      <w:pPr>
        <w:numPr>
          <w:ilvl w:val="0"/>
          <w:numId w:val="3"/>
        </w:numPr>
      </w:pPr>
      <w:r w:rsidRPr="00F66EE8">
        <w:rPr>
          <w:b/>
          <w:bCs/>
        </w:rPr>
        <w:t>Speaker:</w:t>
      </w:r>
      <w:r w:rsidRPr="00F66EE8">
        <w:t xml:space="preserve"> Amy Fabiano, an attorney at Hunton and former associate general counsel at WPI, brings extensive knowledge of legal issues affecting the LGBTQIA+ community. She has a deep understanding of WPI's programs and services.</w:t>
      </w:r>
    </w:p>
    <w:p w14:paraId="78A49DCC" w14:textId="77777777" w:rsidR="00F66EE8" w:rsidRPr="00F66EE8" w:rsidRDefault="00F66EE8" w:rsidP="00F66EE8">
      <w:pPr>
        <w:numPr>
          <w:ilvl w:val="0"/>
          <w:numId w:val="3"/>
        </w:numPr>
      </w:pPr>
      <w:r w:rsidRPr="00F66EE8">
        <w:rPr>
          <w:b/>
          <w:bCs/>
        </w:rPr>
        <w:t>Host:</w:t>
      </w:r>
      <w:r w:rsidRPr="00F66EE8">
        <w:t xml:space="preserve"> Emily Perlow, Dean of Students at WPI, emphasizes the importance of sharing critical information with peers and acknowledges the real human impacts of the discussed laws and policies.</w:t>
      </w:r>
    </w:p>
    <w:p w14:paraId="5E468714" w14:textId="77777777" w:rsidR="00F66EE8" w:rsidRPr="00F66EE8" w:rsidRDefault="00F66EE8" w:rsidP="00F66EE8">
      <w:pPr>
        <w:numPr>
          <w:ilvl w:val="0"/>
          <w:numId w:val="3"/>
        </w:numPr>
      </w:pPr>
      <w:r w:rsidRPr="00F66EE8">
        <w:rPr>
          <w:b/>
          <w:bCs/>
        </w:rPr>
        <w:t>Purpose:</w:t>
      </w:r>
      <w:r w:rsidRPr="00F66EE8">
        <w:t xml:space="preserve"> The session aims to provide factual information about laws and policies affecting LGBTQIA+ individuals, focusing on federal and state levels, and WPI's commitment to inclusion and support.</w:t>
      </w:r>
    </w:p>
    <w:p w14:paraId="52B900BA" w14:textId="77777777" w:rsidR="00F66EE8" w:rsidRPr="00F66EE8" w:rsidRDefault="00F66EE8" w:rsidP="00F66EE8">
      <w:pPr>
        <w:rPr>
          <w:b/>
          <w:bCs/>
        </w:rPr>
      </w:pPr>
      <w:r w:rsidRPr="00F66EE8">
        <w:rPr>
          <w:b/>
          <w:bCs/>
        </w:rPr>
        <w:t>Key Points Covered</w:t>
      </w:r>
    </w:p>
    <w:p w14:paraId="1E5DC015" w14:textId="77777777" w:rsidR="00F66EE8" w:rsidRPr="00F66EE8" w:rsidRDefault="00F66EE8" w:rsidP="00F66EE8">
      <w:pPr>
        <w:numPr>
          <w:ilvl w:val="0"/>
          <w:numId w:val="4"/>
        </w:numPr>
      </w:pPr>
      <w:r w:rsidRPr="00F66EE8">
        <w:rPr>
          <w:b/>
          <w:bCs/>
        </w:rPr>
        <w:t>Introduction and Acknowledgements</w:t>
      </w:r>
    </w:p>
    <w:p w14:paraId="0D9E974F" w14:textId="77777777" w:rsidR="00F66EE8" w:rsidRPr="00F66EE8" w:rsidRDefault="00F66EE8" w:rsidP="00F66EE8">
      <w:pPr>
        <w:numPr>
          <w:ilvl w:val="1"/>
          <w:numId w:val="4"/>
        </w:numPr>
      </w:pPr>
      <w:r w:rsidRPr="00F66EE8">
        <w:rPr>
          <w:b/>
          <w:bCs/>
        </w:rPr>
        <w:t>Importance of Sharing Information:</w:t>
      </w:r>
      <w:r w:rsidRPr="00F66EE8">
        <w:t xml:space="preserve"> Emily Perlow highlights the need for attendees to disseminate the information learned to their peers, stressing the critical nature of the content. She thanks both in-person and Zoom attendees for their participation.</w:t>
      </w:r>
    </w:p>
    <w:p w14:paraId="181F7596" w14:textId="77777777" w:rsidR="00F66EE8" w:rsidRPr="00F66EE8" w:rsidRDefault="00F66EE8" w:rsidP="00F66EE8">
      <w:pPr>
        <w:numPr>
          <w:ilvl w:val="1"/>
          <w:numId w:val="4"/>
        </w:numPr>
      </w:pPr>
      <w:r w:rsidRPr="00F66EE8">
        <w:rPr>
          <w:b/>
          <w:bCs/>
        </w:rPr>
        <w:t>Commitment to Factual Information:</w:t>
      </w:r>
      <w:r w:rsidRPr="00F66EE8">
        <w:t xml:space="preserve"> The session focuses on discussing laws and policies without questioning individuals' identities or diminishing their humanity. The goal is to provide a commitment to factual information and discuss the current legislative landscape.</w:t>
      </w:r>
    </w:p>
    <w:p w14:paraId="09EEC4B3" w14:textId="77777777" w:rsidR="00F66EE8" w:rsidRPr="00F66EE8" w:rsidRDefault="00F66EE8" w:rsidP="00F66EE8">
      <w:pPr>
        <w:numPr>
          <w:ilvl w:val="0"/>
          <w:numId w:val="4"/>
        </w:numPr>
      </w:pPr>
      <w:r w:rsidRPr="00F66EE8">
        <w:rPr>
          <w:b/>
          <w:bCs/>
        </w:rPr>
        <w:t>Key Terms and Definitions</w:t>
      </w:r>
    </w:p>
    <w:p w14:paraId="27FCCC43" w14:textId="77777777" w:rsidR="00F66EE8" w:rsidRPr="00F66EE8" w:rsidRDefault="00F66EE8" w:rsidP="00F66EE8">
      <w:pPr>
        <w:numPr>
          <w:ilvl w:val="1"/>
          <w:numId w:val="4"/>
        </w:numPr>
      </w:pPr>
      <w:r w:rsidRPr="00F66EE8">
        <w:rPr>
          <w:b/>
          <w:bCs/>
        </w:rPr>
        <w:t>LGBTQIA+:</w:t>
      </w:r>
      <w:r w:rsidRPr="00F66EE8">
        <w:t xml:space="preserve"> Explanation of the acronym, which stands for Lesbian, Gay, Bisexual, Transgender, Queer/Questioning, Intersex, Asexual, and other identities. This resource comes directly from WPI.</w:t>
      </w:r>
    </w:p>
    <w:p w14:paraId="2834F9E3" w14:textId="77777777" w:rsidR="00F66EE8" w:rsidRPr="00F66EE8" w:rsidRDefault="00F66EE8" w:rsidP="00F66EE8">
      <w:pPr>
        <w:numPr>
          <w:ilvl w:val="1"/>
          <w:numId w:val="4"/>
        </w:numPr>
      </w:pPr>
      <w:proofErr w:type="spellStart"/>
      <w:r w:rsidRPr="00F66EE8">
        <w:rPr>
          <w:b/>
          <w:bCs/>
        </w:rPr>
        <w:t>Genderbread</w:t>
      </w:r>
      <w:proofErr w:type="spellEnd"/>
      <w:r w:rsidRPr="00F66EE8">
        <w:rPr>
          <w:b/>
          <w:bCs/>
        </w:rPr>
        <w:t xml:space="preserve"> Person:</w:t>
      </w:r>
      <w:r w:rsidRPr="00F66EE8">
        <w:t xml:space="preserve"> A visual tool used to explain the differences between gender identity, gender expression, biological sex, and sexual orientation. It helps clarify how these concepts are distinct yet interconnected.</w:t>
      </w:r>
    </w:p>
    <w:p w14:paraId="13634140" w14:textId="77777777" w:rsidR="00F66EE8" w:rsidRPr="00F66EE8" w:rsidRDefault="00F66EE8" w:rsidP="00F66EE8">
      <w:pPr>
        <w:numPr>
          <w:ilvl w:val="1"/>
          <w:numId w:val="4"/>
        </w:numPr>
      </w:pPr>
      <w:r w:rsidRPr="00F66EE8">
        <w:rPr>
          <w:b/>
          <w:bCs/>
        </w:rPr>
        <w:t>Definitions:</w:t>
      </w:r>
    </w:p>
    <w:p w14:paraId="61CAE82C" w14:textId="77777777" w:rsidR="00F66EE8" w:rsidRPr="00F66EE8" w:rsidRDefault="00F66EE8" w:rsidP="00F66EE8">
      <w:pPr>
        <w:numPr>
          <w:ilvl w:val="2"/>
          <w:numId w:val="4"/>
        </w:numPr>
      </w:pPr>
      <w:r w:rsidRPr="00F66EE8">
        <w:rPr>
          <w:b/>
          <w:bCs/>
        </w:rPr>
        <w:t>Sex:</w:t>
      </w:r>
      <w:r w:rsidRPr="00F66EE8">
        <w:t xml:space="preserve"> Physical traits one is born with, often assigned at birth.</w:t>
      </w:r>
    </w:p>
    <w:p w14:paraId="4039DB77" w14:textId="77777777" w:rsidR="00F66EE8" w:rsidRPr="00F66EE8" w:rsidRDefault="00F66EE8" w:rsidP="00F66EE8">
      <w:pPr>
        <w:numPr>
          <w:ilvl w:val="2"/>
          <w:numId w:val="4"/>
        </w:numPr>
      </w:pPr>
      <w:r w:rsidRPr="00F66EE8">
        <w:rPr>
          <w:b/>
          <w:bCs/>
        </w:rPr>
        <w:t>Gender Identity:</w:t>
      </w:r>
      <w:r w:rsidRPr="00F66EE8">
        <w:t xml:space="preserve"> How one internally experiences and defines their gender, which may or may not align with their sex assigned at birth.</w:t>
      </w:r>
    </w:p>
    <w:p w14:paraId="06A54B43" w14:textId="77777777" w:rsidR="00F66EE8" w:rsidRPr="00F66EE8" w:rsidRDefault="00F66EE8" w:rsidP="00F66EE8">
      <w:pPr>
        <w:numPr>
          <w:ilvl w:val="2"/>
          <w:numId w:val="4"/>
        </w:numPr>
      </w:pPr>
      <w:r w:rsidRPr="00F66EE8">
        <w:rPr>
          <w:b/>
          <w:bCs/>
        </w:rPr>
        <w:t>Gender Expression:</w:t>
      </w:r>
      <w:r w:rsidRPr="00F66EE8">
        <w:t xml:space="preserve"> How one presents </w:t>
      </w:r>
      <w:proofErr w:type="gramStart"/>
      <w:r w:rsidRPr="00F66EE8">
        <w:t>their</w:t>
      </w:r>
      <w:proofErr w:type="gramEnd"/>
      <w:r w:rsidRPr="00F66EE8">
        <w:t xml:space="preserve"> gender through behavior, clothing, hairstyle, voice, and other forms of presentation.</w:t>
      </w:r>
    </w:p>
    <w:p w14:paraId="0E44F374" w14:textId="77777777" w:rsidR="00F66EE8" w:rsidRPr="00F66EE8" w:rsidRDefault="00F66EE8" w:rsidP="00F66EE8">
      <w:pPr>
        <w:numPr>
          <w:ilvl w:val="2"/>
          <w:numId w:val="4"/>
        </w:numPr>
      </w:pPr>
      <w:r w:rsidRPr="00F66EE8">
        <w:rPr>
          <w:b/>
          <w:bCs/>
        </w:rPr>
        <w:lastRenderedPageBreak/>
        <w:t>Attraction:</w:t>
      </w:r>
      <w:r w:rsidRPr="00F66EE8">
        <w:t xml:space="preserve"> How one feels drawn to others, encompassing sexual orientation, which includes romantic and sexual attraction.</w:t>
      </w:r>
    </w:p>
    <w:p w14:paraId="063C5FC4" w14:textId="77777777" w:rsidR="00F66EE8" w:rsidRPr="00F66EE8" w:rsidRDefault="00F66EE8" w:rsidP="00F66EE8">
      <w:pPr>
        <w:numPr>
          <w:ilvl w:val="0"/>
          <w:numId w:val="4"/>
        </w:numPr>
      </w:pPr>
      <w:r w:rsidRPr="00F66EE8">
        <w:rPr>
          <w:b/>
          <w:bCs/>
        </w:rPr>
        <w:t>Sources of Rights</w:t>
      </w:r>
    </w:p>
    <w:p w14:paraId="5532A5A3" w14:textId="77777777" w:rsidR="00F66EE8" w:rsidRPr="00F66EE8" w:rsidRDefault="00F66EE8" w:rsidP="00F66EE8">
      <w:pPr>
        <w:numPr>
          <w:ilvl w:val="1"/>
          <w:numId w:val="4"/>
        </w:numPr>
      </w:pPr>
      <w:r w:rsidRPr="00F66EE8">
        <w:rPr>
          <w:b/>
          <w:bCs/>
        </w:rPr>
        <w:t>Federal Laws:</w:t>
      </w:r>
      <w:r w:rsidRPr="00F66EE8">
        <w:t xml:space="preserve"> Key laws include:</w:t>
      </w:r>
    </w:p>
    <w:p w14:paraId="13094A57" w14:textId="77777777" w:rsidR="00F66EE8" w:rsidRPr="00F66EE8" w:rsidRDefault="00F66EE8" w:rsidP="00F66EE8">
      <w:pPr>
        <w:numPr>
          <w:ilvl w:val="2"/>
          <w:numId w:val="4"/>
        </w:numPr>
      </w:pPr>
      <w:r w:rsidRPr="00F66EE8">
        <w:rPr>
          <w:b/>
          <w:bCs/>
        </w:rPr>
        <w:t>Title VII:</w:t>
      </w:r>
      <w:r w:rsidRPr="00F66EE8">
        <w:t xml:space="preserve"> Prohibits employment discrimination based on race, color, religion, sex, and national origin.</w:t>
      </w:r>
    </w:p>
    <w:p w14:paraId="6675A333" w14:textId="77777777" w:rsidR="00F66EE8" w:rsidRPr="00F66EE8" w:rsidRDefault="00F66EE8" w:rsidP="00F66EE8">
      <w:pPr>
        <w:numPr>
          <w:ilvl w:val="2"/>
          <w:numId w:val="4"/>
        </w:numPr>
      </w:pPr>
      <w:r w:rsidRPr="00F66EE8">
        <w:rPr>
          <w:b/>
          <w:bCs/>
        </w:rPr>
        <w:t>Title IX:</w:t>
      </w:r>
      <w:r w:rsidRPr="00F66EE8">
        <w:t xml:space="preserve"> Prohibits sex discrimination in education programs and activities receiving federal financial assistance.</w:t>
      </w:r>
    </w:p>
    <w:p w14:paraId="4A02D330" w14:textId="77777777" w:rsidR="00F66EE8" w:rsidRPr="00F66EE8" w:rsidRDefault="00F66EE8" w:rsidP="00F66EE8">
      <w:pPr>
        <w:numPr>
          <w:ilvl w:val="2"/>
          <w:numId w:val="4"/>
        </w:numPr>
      </w:pPr>
      <w:r w:rsidRPr="00F66EE8">
        <w:rPr>
          <w:b/>
          <w:bCs/>
        </w:rPr>
        <w:t>Affordable Care Act:</w:t>
      </w:r>
      <w:r w:rsidRPr="00F66EE8">
        <w:t xml:space="preserve"> Prohibits discrimination in healthcare settings.</w:t>
      </w:r>
    </w:p>
    <w:p w14:paraId="696CB559" w14:textId="77777777" w:rsidR="00F66EE8" w:rsidRPr="00F66EE8" w:rsidRDefault="00F66EE8" w:rsidP="00F66EE8">
      <w:pPr>
        <w:numPr>
          <w:ilvl w:val="2"/>
          <w:numId w:val="4"/>
        </w:numPr>
      </w:pPr>
      <w:r w:rsidRPr="00F66EE8">
        <w:rPr>
          <w:b/>
          <w:bCs/>
        </w:rPr>
        <w:t>Supreme Court Ruling (2015):</w:t>
      </w:r>
      <w:r w:rsidRPr="00F66EE8">
        <w:t xml:space="preserve"> Legalized same-sex marriage nationwide.</w:t>
      </w:r>
    </w:p>
    <w:p w14:paraId="0A75FA2B" w14:textId="77777777" w:rsidR="00F66EE8" w:rsidRPr="00F66EE8" w:rsidRDefault="00F66EE8" w:rsidP="00F66EE8">
      <w:pPr>
        <w:numPr>
          <w:ilvl w:val="1"/>
          <w:numId w:val="4"/>
        </w:numPr>
      </w:pPr>
      <w:r w:rsidRPr="00F66EE8">
        <w:rPr>
          <w:b/>
          <w:bCs/>
        </w:rPr>
        <w:t>State Laws:</w:t>
      </w:r>
      <w:r w:rsidRPr="00F66EE8">
        <w:t xml:space="preserve"> Massachusetts laws provide additional </w:t>
      </w:r>
      <w:proofErr w:type="gramStart"/>
      <w:r w:rsidRPr="00F66EE8">
        <w:t>protections</w:t>
      </w:r>
      <w:proofErr w:type="gramEnd"/>
      <w:r w:rsidRPr="00F66EE8">
        <w:t>:</w:t>
      </w:r>
    </w:p>
    <w:p w14:paraId="6B0AE723" w14:textId="77777777" w:rsidR="00F66EE8" w:rsidRPr="00F66EE8" w:rsidRDefault="00F66EE8" w:rsidP="00F66EE8">
      <w:pPr>
        <w:numPr>
          <w:ilvl w:val="2"/>
          <w:numId w:val="4"/>
        </w:numPr>
      </w:pPr>
      <w:r w:rsidRPr="00F66EE8">
        <w:rPr>
          <w:b/>
          <w:bCs/>
        </w:rPr>
        <w:t>Chapter 151B and 151C:</w:t>
      </w:r>
      <w:r w:rsidRPr="00F66EE8">
        <w:t xml:space="preserve"> Prohibit discrimination in employment and education.</w:t>
      </w:r>
    </w:p>
    <w:p w14:paraId="1C52074E" w14:textId="77777777" w:rsidR="00F66EE8" w:rsidRPr="00F66EE8" w:rsidRDefault="00F66EE8" w:rsidP="00F66EE8">
      <w:pPr>
        <w:numPr>
          <w:ilvl w:val="2"/>
          <w:numId w:val="4"/>
        </w:numPr>
      </w:pPr>
      <w:r w:rsidRPr="00F66EE8">
        <w:rPr>
          <w:b/>
          <w:bCs/>
        </w:rPr>
        <w:t>2011 Law:</w:t>
      </w:r>
      <w:r w:rsidRPr="00F66EE8">
        <w:t xml:space="preserve"> Prohibits discrimination based on gender identity.</w:t>
      </w:r>
    </w:p>
    <w:p w14:paraId="11EEE9DF" w14:textId="77777777" w:rsidR="00F66EE8" w:rsidRPr="00F66EE8" w:rsidRDefault="00F66EE8" w:rsidP="00F66EE8">
      <w:pPr>
        <w:numPr>
          <w:ilvl w:val="2"/>
          <w:numId w:val="4"/>
        </w:numPr>
      </w:pPr>
      <w:r w:rsidRPr="00F66EE8">
        <w:rPr>
          <w:b/>
          <w:bCs/>
        </w:rPr>
        <w:t>2016 Law:</w:t>
      </w:r>
      <w:r w:rsidRPr="00F66EE8">
        <w:t xml:space="preserve"> Affirms the rights of individuals to use bathrooms and locker rooms consistent with their gender identity.</w:t>
      </w:r>
    </w:p>
    <w:p w14:paraId="158EBBC6" w14:textId="77777777" w:rsidR="00F66EE8" w:rsidRPr="00F66EE8" w:rsidRDefault="00F66EE8" w:rsidP="00F66EE8">
      <w:pPr>
        <w:numPr>
          <w:ilvl w:val="2"/>
          <w:numId w:val="4"/>
        </w:numPr>
      </w:pPr>
      <w:r w:rsidRPr="00F66EE8">
        <w:rPr>
          <w:b/>
          <w:bCs/>
        </w:rPr>
        <w:t>2021 Law:</w:t>
      </w:r>
      <w:r w:rsidRPr="00F66EE8">
        <w:t xml:space="preserve"> Addresses campus sexual misconduct, including protections based on gender and sexual orientation.</w:t>
      </w:r>
    </w:p>
    <w:p w14:paraId="1FC65168" w14:textId="77777777" w:rsidR="00F66EE8" w:rsidRPr="00F66EE8" w:rsidRDefault="00F66EE8" w:rsidP="00F66EE8">
      <w:pPr>
        <w:numPr>
          <w:ilvl w:val="1"/>
          <w:numId w:val="4"/>
        </w:numPr>
      </w:pPr>
      <w:r w:rsidRPr="00F66EE8">
        <w:rPr>
          <w:b/>
          <w:bCs/>
        </w:rPr>
        <w:t>Policies and Procedures:</w:t>
      </w:r>
      <w:r w:rsidRPr="00F66EE8">
        <w:t xml:space="preserve"> Workplace and educational institution policies that align with federal and state laws to protect LGBTQIA+ individuals. These include WPI's policies and procedures, such as the Student Code of Conduct and Title IX policy.</w:t>
      </w:r>
    </w:p>
    <w:p w14:paraId="162DB848" w14:textId="77777777" w:rsidR="00F66EE8" w:rsidRPr="00F66EE8" w:rsidRDefault="00F66EE8" w:rsidP="00F66EE8">
      <w:pPr>
        <w:numPr>
          <w:ilvl w:val="0"/>
          <w:numId w:val="4"/>
        </w:numPr>
      </w:pPr>
      <w:r w:rsidRPr="00F66EE8">
        <w:rPr>
          <w:b/>
          <w:bCs/>
        </w:rPr>
        <w:t>Executive Orders</w:t>
      </w:r>
    </w:p>
    <w:p w14:paraId="73037027" w14:textId="77777777" w:rsidR="00F66EE8" w:rsidRPr="00F66EE8" w:rsidRDefault="00F66EE8" w:rsidP="00F66EE8">
      <w:pPr>
        <w:numPr>
          <w:ilvl w:val="1"/>
          <w:numId w:val="4"/>
        </w:numPr>
      </w:pPr>
      <w:r w:rsidRPr="00F66EE8">
        <w:rPr>
          <w:b/>
          <w:bCs/>
        </w:rPr>
        <w:t>Explanation:</w:t>
      </w:r>
      <w:r w:rsidRPr="00F66EE8">
        <w:t xml:space="preserve"> Executive orders are directives from the President to federal agencies, influencing public opinion and policies but cannot change federal law or violate the Constitution. They often direct agencies to study, revise, or rescind guidance.</w:t>
      </w:r>
    </w:p>
    <w:p w14:paraId="65F28BBD" w14:textId="77777777" w:rsidR="00F66EE8" w:rsidRPr="00F66EE8" w:rsidRDefault="00F66EE8" w:rsidP="00F66EE8">
      <w:pPr>
        <w:numPr>
          <w:ilvl w:val="1"/>
          <w:numId w:val="4"/>
        </w:numPr>
      </w:pPr>
      <w:r w:rsidRPr="00F66EE8">
        <w:rPr>
          <w:b/>
          <w:bCs/>
        </w:rPr>
        <w:t>Current Executive Orders:</w:t>
      </w:r>
      <w:r w:rsidRPr="00F66EE8">
        <w:t xml:space="preserve"> A list of executive orders affecting LGBTQIA+ rights, including those impacting transgender individuals' participation in sports and access to healthcare. These orders are subject to change and legal challenges.</w:t>
      </w:r>
    </w:p>
    <w:p w14:paraId="24E7D05E" w14:textId="77777777" w:rsidR="00F66EE8" w:rsidRPr="00F66EE8" w:rsidRDefault="00F66EE8" w:rsidP="00F66EE8">
      <w:pPr>
        <w:numPr>
          <w:ilvl w:val="0"/>
          <w:numId w:val="4"/>
        </w:numPr>
      </w:pPr>
      <w:r w:rsidRPr="00F66EE8">
        <w:rPr>
          <w:b/>
          <w:bCs/>
        </w:rPr>
        <w:t>Rights in Various Contexts</w:t>
      </w:r>
    </w:p>
    <w:p w14:paraId="6C315F8B" w14:textId="77777777" w:rsidR="00F66EE8" w:rsidRPr="00F66EE8" w:rsidRDefault="00F66EE8" w:rsidP="00F66EE8">
      <w:pPr>
        <w:numPr>
          <w:ilvl w:val="1"/>
          <w:numId w:val="4"/>
        </w:numPr>
      </w:pPr>
      <w:r w:rsidRPr="00F66EE8">
        <w:rPr>
          <w:b/>
          <w:bCs/>
        </w:rPr>
        <w:t>Workplace Rights:</w:t>
      </w:r>
      <w:r w:rsidRPr="00F66EE8">
        <w:t xml:space="preserve"> Protection from discrimination and harassment based on LGBTQIA+ status, with federal and state laws providing these protections. Massachusetts law offers broader </w:t>
      </w:r>
      <w:proofErr w:type="gramStart"/>
      <w:r w:rsidRPr="00F66EE8">
        <w:t>protections</w:t>
      </w:r>
      <w:proofErr w:type="gramEnd"/>
      <w:r w:rsidRPr="00F66EE8">
        <w:t xml:space="preserve"> than federal law.</w:t>
      </w:r>
    </w:p>
    <w:p w14:paraId="3D2B3695" w14:textId="77777777" w:rsidR="00F66EE8" w:rsidRPr="00F66EE8" w:rsidRDefault="00F66EE8" w:rsidP="00F66EE8">
      <w:pPr>
        <w:numPr>
          <w:ilvl w:val="1"/>
          <w:numId w:val="4"/>
        </w:numPr>
      </w:pPr>
      <w:r w:rsidRPr="00F66EE8">
        <w:rPr>
          <w:b/>
          <w:bCs/>
        </w:rPr>
        <w:lastRenderedPageBreak/>
        <w:t>Educational Rights:</w:t>
      </w:r>
      <w:r w:rsidRPr="00F66EE8">
        <w:t xml:space="preserve"> Students are protected from discrimination and harassment under federal and state laws, with WPI policies supporting these protections. WPI offers resources such as gender-inclusive housing and all-gender restrooms.</w:t>
      </w:r>
    </w:p>
    <w:p w14:paraId="3DD9B8F0" w14:textId="77777777" w:rsidR="00F66EE8" w:rsidRPr="00F66EE8" w:rsidRDefault="00F66EE8" w:rsidP="00F66EE8">
      <w:pPr>
        <w:numPr>
          <w:ilvl w:val="1"/>
          <w:numId w:val="4"/>
        </w:numPr>
      </w:pPr>
      <w:r w:rsidRPr="00F66EE8">
        <w:rPr>
          <w:b/>
          <w:bCs/>
        </w:rPr>
        <w:t>Research:</w:t>
      </w:r>
      <w:r w:rsidRPr="00F66EE8">
        <w:t xml:space="preserve"> Federally funded research must comply with federal laws and regulations, with potential impacts from executive orders being monitored. WPI's Office of Sponsored Programs (OSP) provides guidance.</w:t>
      </w:r>
    </w:p>
    <w:p w14:paraId="64989B9D" w14:textId="77777777" w:rsidR="00F66EE8" w:rsidRPr="00F66EE8" w:rsidRDefault="00F66EE8" w:rsidP="00F66EE8">
      <w:pPr>
        <w:numPr>
          <w:ilvl w:val="1"/>
          <w:numId w:val="4"/>
        </w:numPr>
      </w:pPr>
      <w:r w:rsidRPr="00F66EE8">
        <w:rPr>
          <w:b/>
          <w:bCs/>
        </w:rPr>
        <w:t>Collegiate Athletics:</w:t>
      </w:r>
      <w:r w:rsidRPr="00F66EE8">
        <w:t xml:space="preserve"> Recent changes in NCAA policies for transgender athletes following an executive order. These changes are being closely monitored for their impact on </w:t>
      </w:r>
      <w:proofErr w:type="gramStart"/>
      <w:r w:rsidRPr="00F66EE8">
        <w:t>student-athletes</w:t>
      </w:r>
      <w:proofErr w:type="gramEnd"/>
      <w:r w:rsidRPr="00F66EE8">
        <w:t>.</w:t>
      </w:r>
    </w:p>
    <w:p w14:paraId="4D96BA5D" w14:textId="77777777" w:rsidR="00F66EE8" w:rsidRPr="00F66EE8" w:rsidRDefault="00F66EE8" w:rsidP="00F66EE8">
      <w:pPr>
        <w:numPr>
          <w:ilvl w:val="1"/>
          <w:numId w:val="4"/>
        </w:numPr>
      </w:pPr>
      <w:r w:rsidRPr="00F66EE8">
        <w:rPr>
          <w:b/>
          <w:bCs/>
        </w:rPr>
        <w:t>Healthcare:</w:t>
      </w:r>
      <w:r w:rsidRPr="00F66EE8">
        <w:t xml:space="preserve"> Federal and state laws provide protections, with Massachusetts offering broader protections, including banning conversion therapy and prohibiting discrimination in insurance coverage. Access to gender-affirming care may be in flux due to recent executive orders.</w:t>
      </w:r>
    </w:p>
    <w:p w14:paraId="2A7863F1" w14:textId="77777777" w:rsidR="00F66EE8" w:rsidRPr="00F66EE8" w:rsidRDefault="00F66EE8" w:rsidP="00F66EE8">
      <w:pPr>
        <w:numPr>
          <w:ilvl w:val="1"/>
          <w:numId w:val="4"/>
        </w:numPr>
      </w:pPr>
      <w:r w:rsidRPr="00F66EE8">
        <w:rPr>
          <w:b/>
          <w:bCs/>
        </w:rPr>
        <w:t>Marriage and Family:</w:t>
      </w:r>
      <w:r w:rsidRPr="00F66EE8">
        <w:t xml:space="preserve"> Same-sex marriage is legal in all 50 states, with Massachusetts being the first state to legalize it. Expanded parenting rights are also highlighted, reflecting Massachusetts' values.</w:t>
      </w:r>
    </w:p>
    <w:p w14:paraId="679EEC71" w14:textId="77777777" w:rsidR="00F66EE8" w:rsidRPr="00F66EE8" w:rsidRDefault="00F66EE8" w:rsidP="00F66EE8">
      <w:pPr>
        <w:numPr>
          <w:ilvl w:val="1"/>
          <w:numId w:val="4"/>
        </w:numPr>
      </w:pPr>
      <w:r w:rsidRPr="00F66EE8">
        <w:rPr>
          <w:b/>
          <w:bCs/>
        </w:rPr>
        <w:t>Names and Documentation:</w:t>
      </w:r>
      <w:r w:rsidRPr="00F66EE8">
        <w:t xml:space="preserve"> Processes for changing names and gender markers on federal and state documents, with recent changes affecting federal documents. Massachusetts allows changes to birth certificates and driver's licenses without requiring medical documentation.</w:t>
      </w:r>
    </w:p>
    <w:p w14:paraId="56E1875D" w14:textId="77777777" w:rsidR="00F66EE8" w:rsidRPr="00F66EE8" w:rsidRDefault="00F66EE8" w:rsidP="00F66EE8">
      <w:pPr>
        <w:numPr>
          <w:ilvl w:val="0"/>
          <w:numId w:val="4"/>
        </w:numPr>
      </w:pPr>
      <w:r w:rsidRPr="00F66EE8">
        <w:rPr>
          <w:b/>
          <w:bCs/>
        </w:rPr>
        <w:t>Travel Considerations</w:t>
      </w:r>
    </w:p>
    <w:p w14:paraId="2512CC3C" w14:textId="77777777" w:rsidR="00F66EE8" w:rsidRPr="00F66EE8" w:rsidRDefault="00F66EE8" w:rsidP="00F66EE8">
      <w:pPr>
        <w:numPr>
          <w:ilvl w:val="1"/>
          <w:numId w:val="4"/>
        </w:numPr>
      </w:pPr>
      <w:r w:rsidRPr="00F66EE8">
        <w:rPr>
          <w:b/>
          <w:bCs/>
        </w:rPr>
        <w:t>Know Your Rights:</w:t>
      </w:r>
      <w:r w:rsidRPr="00F66EE8">
        <w:t xml:space="preserve"> Travel is permitted for all individuals, but it's important to understand the laws and social views of travel destinations. Some places may not be LGBTQIA+ friendly, and in some countries, being LGBTQIA+ is considered illegal.</w:t>
      </w:r>
    </w:p>
    <w:p w14:paraId="5D31DE48" w14:textId="77777777" w:rsidR="00F66EE8" w:rsidRPr="00F66EE8" w:rsidRDefault="00F66EE8" w:rsidP="00F66EE8">
      <w:pPr>
        <w:numPr>
          <w:ilvl w:val="1"/>
          <w:numId w:val="4"/>
        </w:numPr>
      </w:pPr>
      <w:r w:rsidRPr="00F66EE8">
        <w:rPr>
          <w:b/>
          <w:bCs/>
        </w:rPr>
        <w:t>WPI Resources:</w:t>
      </w:r>
      <w:r w:rsidRPr="00F66EE8">
        <w:t xml:space="preserve"> Guidance from GEO for LGBTQIA+ students traveling with WPI. This includes understanding the legal and social landscape of travel destinations and ensuring that identity documents are in order.</w:t>
      </w:r>
    </w:p>
    <w:p w14:paraId="5D294ABE" w14:textId="77777777" w:rsidR="00F66EE8" w:rsidRPr="00F66EE8" w:rsidRDefault="00F66EE8" w:rsidP="00F66EE8">
      <w:pPr>
        <w:numPr>
          <w:ilvl w:val="0"/>
          <w:numId w:val="4"/>
        </w:numPr>
      </w:pPr>
      <w:r w:rsidRPr="00F66EE8">
        <w:rPr>
          <w:b/>
          <w:bCs/>
        </w:rPr>
        <w:t>Resources</w:t>
      </w:r>
    </w:p>
    <w:p w14:paraId="14254C05" w14:textId="77777777" w:rsidR="00F66EE8" w:rsidRPr="00F66EE8" w:rsidRDefault="00F66EE8" w:rsidP="00F66EE8">
      <w:pPr>
        <w:numPr>
          <w:ilvl w:val="1"/>
          <w:numId w:val="4"/>
        </w:numPr>
      </w:pPr>
      <w:r w:rsidRPr="00F66EE8">
        <w:rPr>
          <w:b/>
          <w:bCs/>
        </w:rPr>
        <w:t>WPI Resources:</w:t>
      </w:r>
      <w:r w:rsidRPr="00F66EE8">
        <w:t xml:space="preserve"> Talent and Inclusion, Office of Equal Opportunity and Outreach, ODIME, Student Health Services, SDCC, Center for Well-Being, Dean of Students Office. These resources provide support and guidance for LGBTQIA+ students and staff.</w:t>
      </w:r>
    </w:p>
    <w:p w14:paraId="75E20BFE" w14:textId="77777777" w:rsidR="00F66EE8" w:rsidRPr="00F66EE8" w:rsidRDefault="00F66EE8" w:rsidP="00F66EE8">
      <w:pPr>
        <w:numPr>
          <w:ilvl w:val="1"/>
          <w:numId w:val="4"/>
        </w:numPr>
      </w:pPr>
      <w:r w:rsidRPr="00F66EE8">
        <w:rPr>
          <w:b/>
          <w:bCs/>
        </w:rPr>
        <w:t>Worcester and National Resources:</w:t>
      </w:r>
      <w:r w:rsidRPr="00F66EE8">
        <w:t xml:space="preserve"> AIDS Project Worcester, Trevor Project, GLAAD, ACLU. These organizations offer support, advocacy, and legal resources.</w:t>
      </w:r>
    </w:p>
    <w:p w14:paraId="7BF3079B" w14:textId="77777777" w:rsidR="00F66EE8" w:rsidRPr="00F66EE8" w:rsidRDefault="00F66EE8" w:rsidP="00F66EE8">
      <w:pPr>
        <w:numPr>
          <w:ilvl w:val="1"/>
          <w:numId w:val="4"/>
        </w:numPr>
      </w:pPr>
      <w:r w:rsidRPr="00F66EE8">
        <w:rPr>
          <w:b/>
          <w:bCs/>
        </w:rPr>
        <w:t>Legal Resources:</w:t>
      </w:r>
      <w:r w:rsidRPr="00F66EE8">
        <w:t xml:space="preserve"> Massachusetts state website, Massachusetts Commission Against Discrimination, GLAAD, ACLU (noting that some information may be outdated). These resources provide information on legal rights and protections.</w:t>
      </w:r>
    </w:p>
    <w:p w14:paraId="3577BAB9" w14:textId="77777777" w:rsidR="00F66EE8" w:rsidRPr="00F66EE8" w:rsidRDefault="00F66EE8" w:rsidP="00F66EE8">
      <w:pPr>
        <w:numPr>
          <w:ilvl w:val="0"/>
          <w:numId w:val="4"/>
        </w:numPr>
      </w:pPr>
      <w:r w:rsidRPr="00F66EE8">
        <w:rPr>
          <w:b/>
          <w:bCs/>
        </w:rPr>
        <w:lastRenderedPageBreak/>
        <w:t>Q&amp;A Session</w:t>
      </w:r>
    </w:p>
    <w:p w14:paraId="4D4316F6" w14:textId="77777777" w:rsidR="00F66EE8" w:rsidRPr="00F66EE8" w:rsidRDefault="00F66EE8" w:rsidP="00F66EE8">
      <w:pPr>
        <w:numPr>
          <w:ilvl w:val="1"/>
          <w:numId w:val="4"/>
        </w:numPr>
      </w:pPr>
      <w:r w:rsidRPr="00F66EE8">
        <w:rPr>
          <w:b/>
          <w:bCs/>
        </w:rPr>
        <w:t>Legal Processes:</w:t>
      </w:r>
      <w:r w:rsidRPr="00F66EE8">
        <w:t xml:space="preserve"> Questions about legal processes, state vs. federal law conflicts, and the impact of executive orders on state laws were addressed. The importance of understanding both federal and state laws was emphasized.</w:t>
      </w:r>
    </w:p>
    <w:p w14:paraId="21D4A759" w14:textId="77777777" w:rsidR="00F66EE8" w:rsidRPr="00F66EE8" w:rsidRDefault="00F66EE8" w:rsidP="00F66EE8">
      <w:pPr>
        <w:numPr>
          <w:ilvl w:val="1"/>
          <w:numId w:val="4"/>
        </w:numPr>
      </w:pPr>
      <w:r w:rsidRPr="00F66EE8">
        <w:rPr>
          <w:b/>
          <w:bCs/>
        </w:rPr>
        <w:t>WPI's Commitment:</w:t>
      </w:r>
      <w:r w:rsidRPr="00F66EE8">
        <w:t xml:space="preserve"> Emphasis on WPI's commitment to supporting students and aligning with its core values despite changes in federal policies. WPI is not engaging in anticipatory compliance and is monitoring legal developments closely.</w:t>
      </w:r>
    </w:p>
    <w:p w14:paraId="7624BBD9" w14:textId="77777777" w:rsidR="00F66EE8" w:rsidRPr="00F66EE8" w:rsidRDefault="00F66EE8" w:rsidP="00F66EE8">
      <w:r w:rsidRPr="00F66EE8">
        <w:pict w14:anchorId="71E24C4A">
          <v:rect id="_x0000_i1062" style="width:0;height:1.5pt" o:hralign="center" o:hrstd="t" o:hr="t" fillcolor="#a0a0a0" stroked="f"/>
        </w:pict>
      </w:r>
    </w:p>
    <w:p w14:paraId="0DE57A37" w14:textId="77777777" w:rsidR="000B48FA" w:rsidRPr="00F66EE8" w:rsidRDefault="000B48FA" w:rsidP="00F66EE8"/>
    <w:sectPr w:rsidR="000B48FA" w:rsidRPr="00F66E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402579"/>
    <w:multiLevelType w:val="multilevel"/>
    <w:tmpl w:val="B9267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D4636A"/>
    <w:multiLevelType w:val="multilevel"/>
    <w:tmpl w:val="6BE21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117F18"/>
    <w:multiLevelType w:val="multilevel"/>
    <w:tmpl w:val="384E53B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13E17ED"/>
    <w:multiLevelType w:val="multilevel"/>
    <w:tmpl w:val="14C41F8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07012304">
    <w:abstractNumId w:val="1"/>
  </w:num>
  <w:num w:numId="2" w16cid:durableId="519854302">
    <w:abstractNumId w:val="3"/>
  </w:num>
  <w:num w:numId="3" w16cid:durableId="803546108">
    <w:abstractNumId w:val="0"/>
  </w:num>
  <w:num w:numId="4" w16cid:durableId="13728798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0D4"/>
    <w:rsid w:val="000B48FA"/>
    <w:rsid w:val="001A1646"/>
    <w:rsid w:val="003260D4"/>
    <w:rsid w:val="004744BC"/>
    <w:rsid w:val="004B0B09"/>
    <w:rsid w:val="00850B25"/>
    <w:rsid w:val="00890590"/>
    <w:rsid w:val="00E51504"/>
    <w:rsid w:val="00F66E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A5A23"/>
  <w15:chartTrackingRefBased/>
  <w15:docId w15:val="{03E4427E-21C7-4FCE-B3C3-E20253042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60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260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260D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260D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260D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260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60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60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60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60D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260D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260D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260D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260D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260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60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60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60D4"/>
    <w:rPr>
      <w:rFonts w:eastAsiaTheme="majorEastAsia" w:cstheme="majorBidi"/>
      <w:color w:val="272727" w:themeColor="text1" w:themeTint="D8"/>
    </w:rPr>
  </w:style>
  <w:style w:type="paragraph" w:styleId="Title">
    <w:name w:val="Title"/>
    <w:basedOn w:val="Normal"/>
    <w:next w:val="Normal"/>
    <w:link w:val="TitleChar"/>
    <w:uiPriority w:val="10"/>
    <w:qFormat/>
    <w:rsid w:val="003260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60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60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60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60D4"/>
    <w:pPr>
      <w:spacing w:before="160"/>
      <w:jc w:val="center"/>
    </w:pPr>
    <w:rPr>
      <w:i/>
      <w:iCs/>
      <w:color w:val="404040" w:themeColor="text1" w:themeTint="BF"/>
    </w:rPr>
  </w:style>
  <w:style w:type="character" w:customStyle="1" w:styleId="QuoteChar">
    <w:name w:val="Quote Char"/>
    <w:basedOn w:val="DefaultParagraphFont"/>
    <w:link w:val="Quote"/>
    <w:uiPriority w:val="29"/>
    <w:rsid w:val="003260D4"/>
    <w:rPr>
      <w:i/>
      <w:iCs/>
      <w:color w:val="404040" w:themeColor="text1" w:themeTint="BF"/>
    </w:rPr>
  </w:style>
  <w:style w:type="paragraph" w:styleId="ListParagraph">
    <w:name w:val="List Paragraph"/>
    <w:basedOn w:val="Normal"/>
    <w:uiPriority w:val="34"/>
    <w:qFormat/>
    <w:rsid w:val="003260D4"/>
    <w:pPr>
      <w:ind w:left="720"/>
      <w:contextualSpacing/>
    </w:pPr>
  </w:style>
  <w:style w:type="character" w:styleId="IntenseEmphasis">
    <w:name w:val="Intense Emphasis"/>
    <w:basedOn w:val="DefaultParagraphFont"/>
    <w:uiPriority w:val="21"/>
    <w:qFormat/>
    <w:rsid w:val="003260D4"/>
    <w:rPr>
      <w:i/>
      <w:iCs/>
      <w:color w:val="0F4761" w:themeColor="accent1" w:themeShade="BF"/>
    </w:rPr>
  </w:style>
  <w:style w:type="paragraph" w:styleId="IntenseQuote">
    <w:name w:val="Intense Quote"/>
    <w:basedOn w:val="Normal"/>
    <w:next w:val="Normal"/>
    <w:link w:val="IntenseQuoteChar"/>
    <w:uiPriority w:val="30"/>
    <w:qFormat/>
    <w:rsid w:val="003260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260D4"/>
    <w:rPr>
      <w:i/>
      <w:iCs/>
      <w:color w:val="0F4761" w:themeColor="accent1" w:themeShade="BF"/>
    </w:rPr>
  </w:style>
  <w:style w:type="character" w:styleId="IntenseReference">
    <w:name w:val="Intense Reference"/>
    <w:basedOn w:val="DefaultParagraphFont"/>
    <w:uiPriority w:val="32"/>
    <w:qFormat/>
    <w:rsid w:val="003260D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005108">
      <w:bodyDiv w:val="1"/>
      <w:marLeft w:val="0"/>
      <w:marRight w:val="0"/>
      <w:marTop w:val="0"/>
      <w:marBottom w:val="0"/>
      <w:divBdr>
        <w:top w:val="none" w:sz="0" w:space="0" w:color="auto"/>
        <w:left w:val="none" w:sz="0" w:space="0" w:color="auto"/>
        <w:bottom w:val="none" w:sz="0" w:space="0" w:color="auto"/>
        <w:right w:val="none" w:sz="0" w:space="0" w:color="auto"/>
      </w:divBdr>
      <w:divsChild>
        <w:div w:id="463038638">
          <w:marLeft w:val="0"/>
          <w:marRight w:val="0"/>
          <w:marTop w:val="0"/>
          <w:marBottom w:val="0"/>
          <w:divBdr>
            <w:top w:val="none" w:sz="0" w:space="0" w:color="auto"/>
            <w:left w:val="none" w:sz="0" w:space="0" w:color="auto"/>
            <w:bottom w:val="none" w:sz="0" w:space="0" w:color="auto"/>
            <w:right w:val="none" w:sz="0" w:space="0" w:color="auto"/>
          </w:divBdr>
        </w:div>
      </w:divsChild>
    </w:div>
    <w:div w:id="246380674">
      <w:bodyDiv w:val="1"/>
      <w:marLeft w:val="0"/>
      <w:marRight w:val="0"/>
      <w:marTop w:val="0"/>
      <w:marBottom w:val="0"/>
      <w:divBdr>
        <w:top w:val="none" w:sz="0" w:space="0" w:color="auto"/>
        <w:left w:val="none" w:sz="0" w:space="0" w:color="auto"/>
        <w:bottom w:val="none" w:sz="0" w:space="0" w:color="auto"/>
        <w:right w:val="none" w:sz="0" w:space="0" w:color="auto"/>
      </w:divBdr>
      <w:divsChild>
        <w:div w:id="163329155">
          <w:marLeft w:val="0"/>
          <w:marRight w:val="0"/>
          <w:marTop w:val="0"/>
          <w:marBottom w:val="0"/>
          <w:divBdr>
            <w:top w:val="none" w:sz="0" w:space="0" w:color="auto"/>
            <w:left w:val="none" w:sz="0" w:space="0" w:color="auto"/>
            <w:bottom w:val="none" w:sz="0" w:space="0" w:color="auto"/>
            <w:right w:val="none" w:sz="0" w:space="0" w:color="auto"/>
          </w:divBdr>
        </w:div>
      </w:divsChild>
    </w:div>
    <w:div w:id="358167066">
      <w:bodyDiv w:val="1"/>
      <w:marLeft w:val="0"/>
      <w:marRight w:val="0"/>
      <w:marTop w:val="0"/>
      <w:marBottom w:val="0"/>
      <w:divBdr>
        <w:top w:val="none" w:sz="0" w:space="0" w:color="auto"/>
        <w:left w:val="none" w:sz="0" w:space="0" w:color="auto"/>
        <w:bottom w:val="none" w:sz="0" w:space="0" w:color="auto"/>
        <w:right w:val="none" w:sz="0" w:space="0" w:color="auto"/>
      </w:divBdr>
      <w:divsChild>
        <w:div w:id="278725382">
          <w:marLeft w:val="0"/>
          <w:marRight w:val="0"/>
          <w:marTop w:val="0"/>
          <w:marBottom w:val="0"/>
          <w:divBdr>
            <w:top w:val="none" w:sz="0" w:space="0" w:color="auto"/>
            <w:left w:val="none" w:sz="0" w:space="0" w:color="auto"/>
            <w:bottom w:val="none" w:sz="0" w:space="0" w:color="auto"/>
            <w:right w:val="none" w:sz="0" w:space="0" w:color="auto"/>
          </w:divBdr>
        </w:div>
      </w:divsChild>
    </w:div>
    <w:div w:id="1369532065">
      <w:bodyDiv w:val="1"/>
      <w:marLeft w:val="0"/>
      <w:marRight w:val="0"/>
      <w:marTop w:val="0"/>
      <w:marBottom w:val="0"/>
      <w:divBdr>
        <w:top w:val="none" w:sz="0" w:space="0" w:color="auto"/>
        <w:left w:val="none" w:sz="0" w:space="0" w:color="auto"/>
        <w:bottom w:val="none" w:sz="0" w:space="0" w:color="auto"/>
        <w:right w:val="none" w:sz="0" w:space="0" w:color="auto"/>
      </w:divBdr>
      <w:divsChild>
        <w:div w:id="20203489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71F11C2D328D2419A698BDEE20B60A8" ma:contentTypeVersion="16" ma:contentTypeDescription="Create a new document." ma:contentTypeScope="" ma:versionID="7cf841dea01cadbf9fa1502121294732">
  <xsd:schema xmlns:xsd="http://www.w3.org/2001/XMLSchema" xmlns:xs="http://www.w3.org/2001/XMLSchema" xmlns:p="http://schemas.microsoft.com/office/2006/metadata/properties" xmlns:ns1="http://schemas.microsoft.com/sharepoint/v3" xmlns:ns2="0ac4b64c-7f33-473e-b96b-7324f93b3b4b" xmlns:ns3="bdffb9da-04d6-4527-a18e-a0b77bb86665" targetNamespace="http://schemas.microsoft.com/office/2006/metadata/properties" ma:root="true" ma:fieldsID="c5e25dd3424a9127c240e64d70ef6546" ns1:_="" ns2:_="" ns3:_="">
    <xsd:import namespace="http://schemas.microsoft.com/sharepoint/v3"/>
    <xsd:import namespace="0ac4b64c-7f33-473e-b96b-7324f93b3b4b"/>
    <xsd:import namespace="bdffb9da-04d6-4527-a18e-a0b77bb8666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ObjectDetectorVersions" minOccurs="0"/>
                <xsd:element ref="ns3:SharedWithUsers" minOccurs="0"/>
                <xsd:element ref="ns3:SharedWithDetails" minOccurs="0"/>
                <xsd:element ref="ns2:MediaServiceSearchPropertie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c4b64c-7f33-473e-b96b-7324f93b3b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22fa50b-dfd9-4bb6-9271-ff5c2232ab14"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dffb9da-04d6-4527-a18e-a0b77bb8666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4ffa4ae-8619-46ea-a054-88c74cc59979}" ma:internalName="TaxCatchAll" ma:showField="CatchAllData" ma:web="bdffb9da-04d6-4527-a18e-a0b77bb86665">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0ac4b64c-7f33-473e-b96b-7324f93b3b4b">
      <Terms xmlns="http://schemas.microsoft.com/office/infopath/2007/PartnerControls"/>
    </lcf76f155ced4ddcb4097134ff3c332f>
    <TaxCatchAll xmlns="bdffb9da-04d6-4527-a18e-a0b77bb86665" xsi:nil="true"/>
  </documentManagement>
</p:properties>
</file>

<file path=customXml/itemProps1.xml><?xml version="1.0" encoding="utf-8"?>
<ds:datastoreItem xmlns:ds="http://schemas.openxmlformats.org/officeDocument/2006/customXml" ds:itemID="{B0824618-2157-4332-88E5-D10102ED67E2}"/>
</file>

<file path=customXml/itemProps2.xml><?xml version="1.0" encoding="utf-8"?>
<ds:datastoreItem xmlns:ds="http://schemas.openxmlformats.org/officeDocument/2006/customXml" ds:itemID="{48E036CD-D1E1-4C18-BF5D-B2E5B53609EA}"/>
</file>

<file path=customXml/itemProps3.xml><?xml version="1.0" encoding="utf-8"?>
<ds:datastoreItem xmlns:ds="http://schemas.openxmlformats.org/officeDocument/2006/customXml" ds:itemID="{26F5D722-93D2-4D4A-9304-DA5FB80E1C22}"/>
</file>

<file path=docMetadata/LabelInfo.xml><?xml version="1.0" encoding="utf-8"?>
<clbl:labelList xmlns:clbl="http://schemas.microsoft.com/office/2020/mipLabelMetadata">
  <clbl:label id="{589c76f5-ca15-41f9-884b-55ec15a0672a}" enabled="0" method="" siteId="{589c76f5-ca15-41f9-884b-55ec15a0672a}" removed="1"/>
</clbl:labelList>
</file>

<file path=docProps/app.xml><?xml version="1.0" encoding="utf-8"?>
<Properties xmlns="http://schemas.openxmlformats.org/officeDocument/2006/extended-properties" xmlns:vt="http://schemas.openxmlformats.org/officeDocument/2006/docPropsVTypes">
  <Template>Normal</Template>
  <TotalTime>20</TotalTime>
  <Pages>4</Pages>
  <Words>1032</Words>
  <Characters>5889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Benoit, Christopher</dc:creator>
  <cp:keywords/>
  <dc:description/>
  <cp:lastModifiedBy>Benoit, Christopher</cp:lastModifiedBy>
  <cp:revision>3</cp:revision>
  <dcterms:created xsi:type="dcterms:W3CDTF">2025-02-11T17:18:00Z</dcterms:created>
  <dcterms:modified xsi:type="dcterms:W3CDTF">2025-02-11T17:38:00Z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0x010100971F11C2D328D2419A698BDEE20B60A8</vt:lpwstr>
  </property>
</Properties>
</file>