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16"/>
        <w:gridCol w:w="4889"/>
        <w:gridCol w:w="1345"/>
      </w:tblGrid>
      <w:tr w:rsidR="009A1CD7" w:rsidTr="004F0BD9">
        <w:tc>
          <w:tcPr>
            <w:tcW w:w="3116" w:type="dxa"/>
          </w:tcPr>
          <w:p w:rsidR="009A1CD7" w:rsidRPr="00B83633" w:rsidRDefault="009A1CD7">
            <w:pPr>
              <w:rPr>
                <w:b/>
              </w:rPr>
            </w:pPr>
            <w:r w:rsidRPr="00B83633">
              <w:rPr>
                <w:b/>
              </w:rPr>
              <w:t>Agency</w:t>
            </w:r>
          </w:p>
        </w:tc>
        <w:tc>
          <w:tcPr>
            <w:tcW w:w="4889" w:type="dxa"/>
          </w:tcPr>
          <w:p w:rsidR="009A1CD7" w:rsidRPr="00B83633" w:rsidRDefault="009A1CD7" w:rsidP="008F3664">
            <w:pPr>
              <w:rPr>
                <w:b/>
              </w:rPr>
            </w:pPr>
            <w:r w:rsidRPr="00B83633">
              <w:rPr>
                <w:b/>
              </w:rPr>
              <w:t>Charge Salary if Unable to Work Remotely?</w:t>
            </w:r>
          </w:p>
        </w:tc>
        <w:tc>
          <w:tcPr>
            <w:tcW w:w="1345" w:type="dxa"/>
          </w:tcPr>
          <w:p w:rsidR="009A1CD7" w:rsidRPr="00B83633" w:rsidRDefault="009A1CD7">
            <w:pPr>
              <w:rPr>
                <w:b/>
              </w:rPr>
            </w:pPr>
            <w:r w:rsidRPr="00B83633">
              <w:rPr>
                <w:b/>
              </w:rPr>
              <w:t>Comments</w:t>
            </w:r>
          </w:p>
        </w:tc>
      </w:tr>
      <w:tr w:rsidR="004033F5" w:rsidTr="004F0BD9">
        <w:tc>
          <w:tcPr>
            <w:tcW w:w="3116" w:type="dxa"/>
          </w:tcPr>
          <w:p w:rsidR="009A1CD7" w:rsidRDefault="004F0BD9">
            <w:hyperlink r:id="rId4" w:history="1">
              <w:r w:rsidR="004033F5" w:rsidRPr="006C32DD">
                <w:rPr>
                  <w:rStyle w:val="Hyperlink"/>
                </w:rPr>
                <w:t>National Institutes of Health</w:t>
              </w:r>
            </w:hyperlink>
            <w:r w:rsidR="004033F5">
              <w:t xml:space="preserve"> </w:t>
            </w:r>
          </w:p>
          <w:p w:rsidR="004033F5" w:rsidRDefault="00B83633">
            <w:r w:rsidRPr="00B83633">
              <w:rPr>
                <w:color w:val="00B050"/>
              </w:rPr>
              <w:t>yes</w:t>
            </w:r>
          </w:p>
        </w:tc>
        <w:tc>
          <w:tcPr>
            <w:tcW w:w="4889" w:type="dxa"/>
          </w:tcPr>
          <w:p w:rsidR="008F3664" w:rsidRPr="008F3664" w:rsidRDefault="008F3664" w:rsidP="008F3664">
            <w:r w:rsidRPr="008F3664">
              <w:t>NIH understands that many researchers may be unable to work as a result of or related to the effects of COVID-19. If a recipient organization’s policy allows for the charging of salaries and benefits during periods when no work is performed due to the effect of COVID-19, regardless of the funding source, including Federal and non-Federal, then such charges to NIH grant awards will be allowable.</w:t>
            </w:r>
          </w:p>
          <w:p w:rsidR="008F3664" w:rsidRPr="008F3664" w:rsidRDefault="008F3664" w:rsidP="008F3664">
            <w:r w:rsidRPr="008F3664">
              <w:rPr>
                <w:i/>
                <w:iCs/>
              </w:rPr>
              <w:t>Reminder: NIH awarding Institutes/Centers (ICs) may request documentation to confirm the requirements of institutional policies.</w:t>
            </w:r>
          </w:p>
          <w:p w:rsidR="004033F5" w:rsidRDefault="004033F5">
            <w:r w:rsidRPr="004033F5">
              <w:t>See: NOT-OD-20-086</w:t>
            </w:r>
          </w:p>
        </w:tc>
        <w:tc>
          <w:tcPr>
            <w:tcW w:w="1345" w:type="dxa"/>
          </w:tcPr>
          <w:p w:rsidR="004033F5" w:rsidRDefault="004033F5"/>
        </w:tc>
      </w:tr>
      <w:tr w:rsidR="009A1CD7" w:rsidTr="004F0BD9">
        <w:tc>
          <w:tcPr>
            <w:tcW w:w="3116" w:type="dxa"/>
          </w:tcPr>
          <w:p w:rsidR="009A1CD7" w:rsidRDefault="004F0BD9">
            <w:hyperlink r:id="rId5" w:history="1">
              <w:r w:rsidR="009A1CD7" w:rsidRPr="006C32DD">
                <w:rPr>
                  <w:rStyle w:val="Hyperlink"/>
                </w:rPr>
                <w:t>National Scie</w:t>
              </w:r>
              <w:r w:rsidR="009A1CD7" w:rsidRPr="006C32DD">
                <w:rPr>
                  <w:rStyle w:val="Hyperlink"/>
                </w:rPr>
                <w:t>n</w:t>
              </w:r>
              <w:r w:rsidR="009A1CD7" w:rsidRPr="006C32DD">
                <w:rPr>
                  <w:rStyle w:val="Hyperlink"/>
                </w:rPr>
                <w:t>ce Foundation</w:t>
              </w:r>
            </w:hyperlink>
          </w:p>
          <w:p w:rsidR="009A1CD7" w:rsidRPr="004033F5" w:rsidRDefault="009A1CD7">
            <w:r w:rsidRPr="00B83633">
              <w:rPr>
                <w:color w:val="00B050"/>
              </w:rPr>
              <w:t>yes</w:t>
            </w:r>
          </w:p>
        </w:tc>
        <w:tc>
          <w:tcPr>
            <w:tcW w:w="4889" w:type="dxa"/>
          </w:tcPr>
          <w:p w:rsidR="009A1CD7" w:rsidRDefault="009A1CD7" w:rsidP="009A1CD7">
            <w:r>
              <w:t>Recipients are authorized to continue to charge salaries, stipends, and benefits to currently active NSF awards consistent with the recipients’ policy of paying salaries (under unexpected or extraordinary circumstances) from all funding sources, Federal and non-Federal</w:t>
            </w:r>
          </w:p>
        </w:tc>
        <w:tc>
          <w:tcPr>
            <w:tcW w:w="1345" w:type="dxa"/>
          </w:tcPr>
          <w:p w:rsidR="009A1CD7" w:rsidRDefault="009A1CD7"/>
        </w:tc>
      </w:tr>
      <w:tr w:rsidR="004F0BD9" w:rsidTr="004F0BD9">
        <w:tc>
          <w:tcPr>
            <w:tcW w:w="3116" w:type="dxa"/>
          </w:tcPr>
          <w:p w:rsidR="004F0BD9" w:rsidRDefault="004F0BD9">
            <w:hyperlink r:id="rId6" w:history="1">
              <w:r w:rsidRPr="004F0BD9">
                <w:rPr>
                  <w:rStyle w:val="Hyperlink"/>
                </w:rPr>
                <w:t>Department of Defense</w:t>
              </w:r>
            </w:hyperlink>
            <w:bookmarkStart w:id="0" w:name="_GoBack"/>
            <w:bookmarkEnd w:id="0"/>
          </w:p>
          <w:p w:rsidR="004F0BD9" w:rsidRPr="004033F5" w:rsidRDefault="004F0BD9">
            <w:r w:rsidRPr="004F0BD9">
              <w:rPr>
                <w:color w:val="00B050"/>
              </w:rPr>
              <w:t>yes</w:t>
            </w:r>
          </w:p>
        </w:tc>
        <w:tc>
          <w:tcPr>
            <w:tcW w:w="4889" w:type="dxa"/>
          </w:tcPr>
          <w:p w:rsidR="004F0BD9" w:rsidRDefault="004F0BD9">
            <w:r>
              <w:t>T</w:t>
            </w:r>
            <w:r w:rsidRPr="004F0BD9">
              <w:t>he DOD will allow recipients to continue to charge salaries and benefits to currently-active awards consistent with the recipients’ policy of paying salaries (under unexpected or extraordinary circumstances) from all funding sources, federal and non-federal.</w:t>
            </w:r>
          </w:p>
        </w:tc>
        <w:tc>
          <w:tcPr>
            <w:tcW w:w="1345" w:type="dxa"/>
          </w:tcPr>
          <w:p w:rsidR="004F0BD9" w:rsidRDefault="004F0BD9"/>
        </w:tc>
      </w:tr>
      <w:tr w:rsidR="004033F5" w:rsidTr="004F0BD9">
        <w:tc>
          <w:tcPr>
            <w:tcW w:w="3116" w:type="dxa"/>
          </w:tcPr>
          <w:p w:rsidR="004033F5" w:rsidRDefault="004033F5">
            <w:r w:rsidRPr="004033F5">
              <w:t xml:space="preserve">Department of Defense: US Medical Research Acquisition Activity ( </w:t>
            </w:r>
            <w:hyperlink r:id="rId7" w:history="1">
              <w:r w:rsidRPr="006C32DD">
                <w:rPr>
                  <w:rStyle w:val="Hyperlink"/>
                </w:rPr>
                <w:t>USAMRA</w:t>
              </w:r>
            </w:hyperlink>
            <w:r w:rsidR="009A1CD7">
              <w:t>)</w:t>
            </w:r>
            <w:r w:rsidR="004F0BD9">
              <w:t xml:space="preserve"> </w:t>
            </w:r>
          </w:p>
          <w:p w:rsidR="009A1CD7" w:rsidRDefault="004F0BD9">
            <w:r w:rsidRPr="004F0BD9">
              <w:rPr>
                <w:color w:val="00B050"/>
              </w:rPr>
              <w:t>yes</w:t>
            </w:r>
          </w:p>
        </w:tc>
        <w:tc>
          <w:tcPr>
            <w:tcW w:w="4889" w:type="dxa"/>
          </w:tcPr>
          <w:p w:rsidR="004033F5" w:rsidRDefault="004F0BD9">
            <w:r>
              <w:t>Recipients may continue to charge salaries and benefits to currently active awards consistent with the recipients' policy of paying salaries (under unexpected or extraordinary circumstances) from all funding sources, Federal and non-Federal.</w:t>
            </w:r>
          </w:p>
        </w:tc>
        <w:tc>
          <w:tcPr>
            <w:tcW w:w="1345" w:type="dxa"/>
          </w:tcPr>
          <w:p w:rsidR="004033F5" w:rsidRDefault="004033F5"/>
        </w:tc>
      </w:tr>
    </w:tbl>
    <w:p w:rsidR="006E3ADA" w:rsidRDefault="006E3ADA"/>
    <w:sectPr w:rsidR="006E3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F5"/>
    <w:rsid w:val="002E739A"/>
    <w:rsid w:val="004033F5"/>
    <w:rsid w:val="004F0BD9"/>
    <w:rsid w:val="006C32DD"/>
    <w:rsid w:val="006E3ADA"/>
    <w:rsid w:val="008F3664"/>
    <w:rsid w:val="009A1CD7"/>
    <w:rsid w:val="00B83633"/>
    <w:rsid w:val="00EF3293"/>
    <w:rsid w:val="00F0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B55A"/>
  <w15:chartTrackingRefBased/>
  <w15:docId w15:val="{057D2CAD-5578-4459-BF76-8DDFA85B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39A"/>
    <w:pPr>
      <w:tabs>
        <w:tab w:val="left" w:pos="540"/>
      </w:tabs>
      <w:suppressAutoHyphens/>
      <w:spacing w:after="120" w:line="240" w:lineRule="auto"/>
      <w:jc w:val="both"/>
    </w:pPr>
    <w:rPr>
      <w:rFonts w:ascii="Times New Roman" w:hAnsi="Times New Roman" w:cs="Times New Roman"/>
      <w:color w:val="000000"/>
      <w:sz w:val="24"/>
      <w:szCs w:val="20"/>
    </w:rPr>
  </w:style>
  <w:style w:type="paragraph" w:styleId="Heading1">
    <w:name w:val="heading 1"/>
    <w:basedOn w:val="Normal"/>
    <w:next w:val="Normal"/>
    <w:link w:val="Heading1Char"/>
    <w:qFormat/>
    <w:rsid w:val="002E739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2E739A"/>
    <w:pPr>
      <w:tabs>
        <w:tab w:val="left" w:pos="480"/>
        <w:tab w:val="left" w:pos="1080"/>
        <w:tab w:val="left" w:pos="1620"/>
        <w:tab w:val="left" w:pos="2160"/>
        <w:tab w:val="left" w:pos="2700"/>
        <w:tab w:val="left" w:pos="3240"/>
        <w:tab w:val="left" w:pos="3780"/>
        <w:tab w:val="left" w:pos="4140"/>
        <w:tab w:val="left" w:pos="4680"/>
        <w:tab w:val="left" w:pos="5220"/>
        <w:tab w:val="left" w:pos="5760"/>
      </w:tabs>
      <w:spacing w:before="120" w:line="240" w:lineRule="atLeast"/>
    </w:pPr>
  </w:style>
  <w:style w:type="paragraph" w:customStyle="1" w:styleId="a">
    <w:name w:val="a"/>
    <w:basedOn w:val="Normal"/>
    <w:rsid w:val="002E739A"/>
    <w:pPr>
      <w:tabs>
        <w:tab w:val="left" w:pos="1080"/>
        <w:tab w:val="left" w:pos="1620"/>
        <w:tab w:val="left" w:pos="2160"/>
        <w:tab w:val="left" w:pos="2700"/>
        <w:tab w:val="left" w:pos="3240"/>
        <w:tab w:val="left" w:pos="3780"/>
        <w:tab w:val="left" w:pos="4140"/>
        <w:tab w:val="left" w:pos="4680"/>
        <w:tab w:val="left" w:pos="5220"/>
        <w:tab w:val="left" w:pos="5760"/>
      </w:tabs>
      <w:spacing w:before="120" w:line="280" w:lineRule="exact"/>
      <w:ind w:left="1080" w:hanging="540"/>
    </w:pPr>
  </w:style>
  <w:style w:type="paragraph" w:styleId="BalloonText">
    <w:name w:val="Balloon Text"/>
    <w:basedOn w:val="Normal"/>
    <w:link w:val="BalloonTextChar"/>
    <w:semiHidden/>
    <w:rsid w:val="002E739A"/>
    <w:rPr>
      <w:rFonts w:ascii="Tahoma" w:hAnsi="Tahoma" w:cs="Tahoma"/>
      <w:sz w:val="16"/>
      <w:szCs w:val="16"/>
    </w:rPr>
  </w:style>
  <w:style w:type="character" w:customStyle="1" w:styleId="BalloonTextChar">
    <w:name w:val="Balloon Text Char"/>
    <w:basedOn w:val="DefaultParagraphFont"/>
    <w:link w:val="BalloonText"/>
    <w:semiHidden/>
    <w:rsid w:val="002E739A"/>
    <w:rPr>
      <w:rFonts w:ascii="Tahoma" w:eastAsia="Times New Roman" w:hAnsi="Tahoma" w:cs="Tahoma"/>
      <w:color w:val="000000"/>
      <w:sz w:val="16"/>
      <w:szCs w:val="16"/>
    </w:rPr>
  </w:style>
  <w:style w:type="paragraph" w:styleId="BlockText">
    <w:name w:val="Block Text"/>
    <w:basedOn w:val="Normal"/>
    <w:rsid w:val="002E739A"/>
    <w:pPr>
      <w:ind w:left="-270" w:right="-108"/>
    </w:pPr>
    <w:rPr>
      <w:rFonts w:ascii="Arial" w:hAnsi="Arial" w:cs="Arial"/>
      <w:sz w:val="16"/>
    </w:rPr>
  </w:style>
  <w:style w:type="paragraph" w:styleId="BodyText">
    <w:name w:val="Body Text"/>
    <w:basedOn w:val="Normal"/>
    <w:link w:val="BodyTextChar"/>
    <w:rsid w:val="002E739A"/>
    <w:pPr>
      <w:autoSpaceDE w:val="0"/>
      <w:autoSpaceDN w:val="0"/>
      <w:adjustRightInd w:val="0"/>
      <w:spacing w:after="0"/>
    </w:pPr>
    <w:rPr>
      <w:rFonts w:ascii="Arial" w:hAnsi="Arial" w:cs="Arial"/>
      <w:sz w:val="16"/>
    </w:rPr>
  </w:style>
  <w:style w:type="character" w:customStyle="1" w:styleId="BodyTextChar">
    <w:name w:val="Body Text Char"/>
    <w:basedOn w:val="DefaultParagraphFont"/>
    <w:link w:val="BodyText"/>
    <w:rsid w:val="002E739A"/>
    <w:rPr>
      <w:rFonts w:ascii="Arial" w:eastAsia="Times New Roman" w:hAnsi="Arial" w:cs="Arial"/>
      <w:sz w:val="16"/>
      <w:szCs w:val="20"/>
    </w:rPr>
  </w:style>
  <w:style w:type="paragraph" w:styleId="BodyText2">
    <w:name w:val="Body Text 2"/>
    <w:basedOn w:val="Normal"/>
    <w:link w:val="BodyText2Char"/>
    <w:rsid w:val="002E739A"/>
    <w:pPr>
      <w:tabs>
        <w:tab w:val="left" w:pos="-720"/>
      </w:tabs>
      <w:ind w:right="-360"/>
    </w:pPr>
    <w:rPr>
      <w:rFonts w:ascii="Arial" w:hAnsi="Arial" w:cs="Arial"/>
      <w:spacing w:val="-2"/>
      <w:sz w:val="16"/>
    </w:rPr>
  </w:style>
  <w:style w:type="character" w:customStyle="1" w:styleId="BodyText2Char">
    <w:name w:val="Body Text 2 Char"/>
    <w:basedOn w:val="DefaultParagraphFont"/>
    <w:link w:val="BodyText2"/>
    <w:rsid w:val="002E739A"/>
    <w:rPr>
      <w:rFonts w:ascii="Arial" w:eastAsia="Times New Roman" w:hAnsi="Arial" w:cs="Arial"/>
      <w:color w:val="000000"/>
      <w:spacing w:val="-2"/>
      <w:sz w:val="16"/>
      <w:szCs w:val="20"/>
    </w:rPr>
  </w:style>
  <w:style w:type="paragraph" w:styleId="BodyText3">
    <w:name w:val="Body Text 3"/>
    <w:basedOn w:val="Normal"/>
    <w:link w:val="BodyText3Char"/>
    <w:rsid w:val="002E739A"/>
    <w:pPr>
      <w:ind w:right="-378"/>
    </w:pPr>
    <w:rPr>
      <w:rFonts w:ascii="Arial" w:hAnsi="Arial" w:cs="Arial"/>
      <w:sz w:val="16"/>
    </w:rPr>
  </w:style>
  <w:style w:type="character" w:customStyle="1" w:styleId="BodyText3Char">
    <w:name w:val="Body Text 3 Char"/>
    <w:basedOn w:val="DefaultParagraphFont"/>
    <w:link w:val="BodyText3"/>
    <w:rsid w:val="002E739A"/>
    <w:rPr>
      <w:rFonts w:ascii="Arial" w:eastAsia="Times New Roman" w:hAnsi="Arial" w:cs="Arial"/>
      <w:color w:val="000000"/>
      <w:sz w:val="16"/>
      <w:szCs w:val="20"/>
    </w:rPr>
  </w:style>
  <w:style w:type="paragraph" w:styleId="BodyTextIndent">
    <w:name w:val="Body Text Indent"/>
    <w:basedOn w:val="Normal"/>
    <w:link w:val="BodyTextIndentChar"/>
    <w:rsid w:val="002E739A"/>
    <w:pPr>
      <w:tabs>
        <w:tab w:val="left" w:pos="-270"/>
      </w:tabs>
      <w:ind w:left="-270"/>
    </w:pPr>
    <w:rPr>
      <w:rFonts w:ascii="Arial" w:hAnsi="Arial" w:cs="Arial"/>
      <w:sz w:val="16"/>
    </w:rPr>
  </w:style>
  <w:style w:type="character" w:customStyle="1" w:styleId="BodyTextIndentChar">
    <w:name w:val="Body Text Indent Char"/>
    <w:basedOn w:val="DefaultParagraphFont"/>
    <w:link w:val="BodyTextIndent"/>
    <w:rsid w:val="002E739A"/>
    <w:rPr>
      <w:rFonts w:ascii="Arial" w:eastAsia="Times New Roman" w:hAnsi="Arial" w:cs="Arial"/>
      <w:color w:val="000000"/>
      <w:sz w:val="16"/>
      <w:szCs w:val="20"/>
    </w:rPr>
  </w:style>
  <w:style w:type="paragraph" w:styleId="BodyTextIndent2">
    <w:name w:val="Body Text Indent 2"/>
    <w:basedOn w:val="Normal"/>
    <w:link w:val="BodyTextIndent2Char"/>
    <w:rsid w:val="002E739A"/>
    <w:pPr>
      <w:spacing w:after="0"/>
      <w:ind w:left="360"/>
    </w:pPr>
  </w:style>
  <w:style w:type="character" w:customStyle="1" w:styleId="BodyTextIndent2Char">
    <w:name w:val="Body Text Indent 2 Char"/>
    <w:basedOn w:val="DefaultParagraphFont"/>
    <w:link w:val="BodyTextIndent2"/>
    <w:rsid w:val="002E739A"/>
    <w:rPr>
      <w:rFonts w:ascii="Times New Roman" w:eastAsia="Times New Roman" w:hAnsi="Times New Roman" w:cs="Times New Roman"/>
      <w:sz w:val="24"/>
      <w:szCs w:val="20"/>
    </w:rPr>
  </w:style>
  <w:style w:type="paragraph" w:styleId="BodyTextIndent3">
    <w:name w:val="Body Text Indent 3"/>
    <w:basedOn w:val="Normal"/>
    <w:link w:val="BodyTextIndent3Char"/>
    <w:rsid w:val="002E739A"/>
    <w:pPr>
      <w:spacing w:after="0"/>
      <w:ind w:left="360" w:hanging="360"/>
    </w:pPr>
    <w:rPr>
      <w:sz w:val="20"/>
    </w:rPr>
  </w:style>
  <w:style w:type="character" w:customStyle="1" w:styleId="BodyTextIndent3Char">
    <w:name w:val="Body Text Indent 3 Char"/>
    <w:basedOn w:val="DefaultParagraphFont"/>
    <w:link w:val="BodyTextIndent3"/>
    <w:rsid w:val="002E739A"/>
    <w:rPr>
      <w:rFonts w:ascii="Times New Roman" w:eastAsia="Times New Roman" w:hAnsi="Times New Roman" w:cs="Times New Roman"/>
      <w:sz w:val="20"/>
      <w:szCs w:val="20"/>
    </w:rPr>
  </w:style>
  <w:style w:type="paragraph" w:styleId="Footer">
    <w:name w:val="footer"/>
    <w:basedOn w:val="Normal"/>
    <w:link w:val="FooterChar"/>
    <w:rsid w:val="002E739A"/>
    <w:pPr>
      <w:tabs>
        <w:tab w:val="center" w:pos="4320"/>
        <w:tab w:val="right" w:pos="8640"/>
      </w:tabs>
    </w:pPr>
  </w:style>
  <w:style w:type="character" w:customStyle="1" w:styleId="FooterChar">
    <w:name w:val="Footer Char"/>
    <w:basedOn w:val="DefaultParagraphFont"/>
    <w:link w:val="Footer"/>
    <w:rsid w:val="002E739A"/>
    <w:rPr>
      <w:rFonts w:ascii="Times New Roman" w:eastAsia="Times New Roman" w:hAnsi="Times New Roman" w:cs="Times New Roman"/>
      <w:color w:val="000000"/>
      <w:sz w:val="24"/>
      <w:szCs w:val="20"/>
    </w:rPr>
  </w:style>
  <w:style w:type="paragraph" w:styleId="Header">
    <w:name w:val="header"/>
    <w:basedOn w:val="Normal"/>
    <w:link w:val="HeaderChar"/>
    <w:rsid w:val="002E739A"/>
    <w:pPr>
      <w:tabs>
        <w:tab w:val="center" w:pos="4320"/>
        <w:tab w:val="right" w:pos="8640"/>
      </w:tabs>
    </w:pPr>
  </w:style>
  <w:style w:type="character" w:customStyle="1" w:styleId="HeaderChar">
    <w:name w:val="Header Char"/>
    <w:basedOn w:val="DefaultParagraphFont"/>
    <w:link w:val="Header"/>
    <w:rsid w:val="002E739A"/>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rsid w:val="002E739A"/>
    <w:rPr>
      <w:rFonts w:ascii="Arial" w:eastAsia="Times New Roman" w:hAnsi="Arial" w:cs="Times New Roman"/>
      <w:b/>
      <w:color w:val="000000"/>
      <w:kern w:val="28"/>
      <w:sz w:val="28"/>
      <w:szCs w:val="20"/>
    </w:rPr>
  </w:style>
  <w:style w:type="paragraph" w:customStyle="1" w:styleId="i">
    <w:name w:val="i"/>
    <w:basedOn w:val="Normal"/>
    <w:rsid w:val="002E739A"/>
    <w:pPr>
      <w:tabs>
        <w:tab w:val="left" w:pos="1620"/>
        <w:tab w:val="left" w:pos="2160"/>
        <w:tab w:val="left" w:pos="2700"/>
        <w:tab w:val="left" w:pos="3240"/>
        <w:tab w:val="left" w:pos="3780"/>
        <w:tab w:val="left" w:pos="4140"/>
        <w:tab w:val="left" w:pos="4680"/>
        <w:tab w:val="left" w:pos="5220"/>
        <w:tab w:val="left" w:pos="5760"/>
      </w:tabs>
      <w:spacing w:before="40" w:after="100" w:line="280" w:lineRule="exact"/>
      <w:ind w:left="1620" w:hanging="540"/>
    </w:pPr>
  </w:style>
  <w:style w:type="paragraph" w:customStyle="1" w:styleId="Legal3L7">
    <w:name w:val="Legal3_L7"/>
    <w:basedOn w:val="Normal"/>
    <w:next w:val="Normal"/>
    <w:autoRedefine/>
    <w:rsid w:val="002E739A"/>
    <w:pPr>
      <w:tabs>
        <w:tab w:val="clear" w:pos="540"/>
      </w:tabs>
      <w:suppressAutoHyphens w:val="0"/>
      <w:spacing w:after="240"/>
    </w:pPr>
    <w:rPr>
      <w:rFonts w:ascii="Arial" w:hAnsi="Arial" w:cs="Arial"/>
      <w:color w:val="auto"/>
      <w:sz w:val="22"/>
    </w:rPr>
  </w:style>
  <w:style w:type="character" w:styleId="PageNumber">
    <w:name w:val="page number"/>
    <w:basedOn w:val="DefaultParagraphFont"/>
    <w:rsid w:val="002E739A"/>
  </w:style>
  <w:style w:type="paragraph" w:styleId="Title">
    <w:name w:val="Title"/>
    <w:basedOn w:val="Normal"/>
    <w:link w:val="TitleChar"/>
    <w:qFormat/>
    <w:rsid w:val="002E739A"/>
    <w:pPr>
      <w:tabs>
        <w:tab w:val="clear" w:pos="540"/>
      </w:tabs>
      <w:suppressAutoHyphens w:val="0"/>
      <w:spacing w:after="0"/>
      <w:jc w:val="center"/>
    </w:pPr>
    <w:rPr>
      <w:rFonts w:ascii="Arial" w:hAnsi="Arial" w:cs="Arial"/>
      <w:b/>
      <w:bCs/>
      <w:noProof/>
      <w:color w:val="auto"/>
      <w:sz w:val="22"/>
      <w:szCs w:val="24"/>
    </w:rPr>
  </w:style>
  <w:style w:type="character" w:customStyle="1" w:styleId="TitleChar">
    <w:name w:val="Title Char"/>
    <w:basedOn w:val="DefaultParagraphFont"/>
    <w:link w:val="Title"/>
    <w:rsid w:val="002E739A"/>
    <w:rPr>
      <w:rFonts w:ascii="Arial" w:eastAsia="Times New Roman" w:hAnsi="Arial" w:cs="Arial"/>
      <w:b/>
      <w:bCs/>
      <w:noProof/>
      <w:szCs w:val="24"/>
    </w:rPr>
  </w:style>
  <w:style w:type="character" w:customStyle="1" w:styleId="zzmpTrailerItem">
    <w:name w:val="zzmpTrailerItem"/>
    <w:rsid w:val="002E739A"/>
    <w:rPr>
      <w:rFonts w:ascii="Times New Roman" w:hAnsi="Times New Roman" w:cs="Times New Roman"/>
      <w:b w:val="0"/>
      <w:i w:val="0"/>
      <w:caps w:val="0"/>
      <w:smallCaps w:val="0"/>
      <w:dstrike w:val="0"/>
      <w:shadow w:val="0"/>
      <w:emboss w:val="0"/>
      <w:imprint w:val="0"/>
      <w:noProof/>
      <w:vanish w:val="0"/>
      <w:color w:val="000000"/>
      <w:spacing w:val="0"/>
      <w:position w:val="0"/>
      <w:sz w:val="16"/>
      <w:u w:val="none"/>
      <w:effect w:val="none"/>
      <w:vertAlign w:val="baseline"/>
    </w:rPr>
  </w:style>
  <w:style w:type="table" w:styleId="TableGrid">
    <w:name w:val="Table Grid"/>
    <w:basedOn w:val="TableNormal"/>
    <w:uiPriority w:val="39"/>
    <w:rsid w:val="0040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2DD"/>
    <w:rPr>
      <w:color w:val="0563C1" w:themeColor="hyperlink"/>
      <w:u w:val="single"/>
    </w:rPr>
  </w:style>
  <w:style w:type="character" w:styleId="FollowedHyperlink">
    <w:name w:val="FollowedHyperlink"/>
    <w:basedOn w:val="DefaultParagraphFont"/>
    <w:uiPriority w:val="99"/>
    <w:semiHidden/>
    <w:unhideWhenUsed/>
    <w:rsid w:val="004F0B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dmrp.army.mil/about/covid-19/USAMRAA%20Supplemental%20Guidance%20on%20COVID-19_03.25.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icresearch.defense.gov/COVID-19/Frequently-Asked-Questions/Frequently-Asked-Quest/" TargetMode="External"/><Relationship Id="rId5" Type="http://schemas.openxmlformats.org/officeDocument/2006/relationships/hyperlink" Target="https://www.nsf.gov/bfa/dias/policy/covid19/covid19_nsfombimplementation.pdf" TargetMode="External"/><Relationship Id="rId4" Type="http://schemas.openxmlformats.org/officeDocument/2006/relationships/hyperlink" Target="https://grants.nih.gov/grants/guide/notice-files/NOT-OD-20-086.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Harnisch, Antje</dc:creator>
  <cp:keywords/>
  <dc:description/>
  <cp:lastModifiedBy>Harnisch, Antje</cp:lastModifiedBy>
  <cp:revision>2</cp:revision>
  <dcterms:created xsi:type="dcterms:W3CDTF">2020-03-27T18:39:00Z</dcterms:created>
  <dcterms:modified xsi:type="dcterms:W3CDTF">2020-03-27T18:39:00Z</dcterms:modified>
</cp:coreProperties>
</file>